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2552" w:leader="none"/>
          <w:tab w:val="left" w:pos="7371" w:leader="none"/>
        </w:tabs>
        <w:ind w:right="1133" w:hanging="0"/>
        <w:jc w:val="both"/>
        <w:rPr>
          <w:b/>
          <w:b/>
        </w:rPr>
      </w:pPr>
      <w:r>
        <w:rPr>
          <w:b/>
          <w:u w:val="single"/>
        </w:rPr>
        <w:t>AUTODICHIARAZIONE EX DPR 445 / 2000</w:t>
      </w:r>
      <w:r>
        <w:rPr>
          <w:b/>
        </w:rPr>
        <w:t xml:space="preserve"> </w:t>
      </w:r>
    </w:p>
    <w:p>
      <w:pPr>
        <w:pStyle w:val="Normal"/>
        <w:tabs>
          <w:tab w:val="left" w:pos="2552" w:leader="none"/>
          <w:tab w:val="left" w:pos="7371" w:leader="none"/>
        </w:tabs>
        <w:ind w:right="1133" w:hanging="0"/>
        <w:jc w:val="both"/>
        <w:rPr>
          <w:i/>
          <w:i/>
        </w:rPr>
      </w:pPr>
      <w:r>
        <w:rPr>
          <w:i/>
        </w:rPr>
      </w:r>
    </w:p>
    <w:p>
      <w:pPr>
        <w:pStyle w:val="Normal"/>
        <w:tabs>
          <w:tab w:val="left" w:pos="2552" w:leader="none"/>
          <w:tab w:val="left" w:pos="7371" w:leader="none"/>
        </w:tabs>
        <w:ind w:right="1133" w:hanging="0"/>
        <w:jc w:val="both"/>
        <w:rPr/>
      </w:pPr>
      <w:r>
        <w:rPr>
          <w:b/>
        </w:rPr>
        <w:t>Spettabile IIS J. TORRIANI, Via Seminario 17 / 19 Cremona</w:t>
      </w:r>
    </w:p>
    <w:p>
      <w:pPr>
        <w:pStyle w:val="Normal"/>
        <w:tabs>
          <w:tab w:val="left" w:pos="2552" w:leader="none"/>
          <w:tab w:val="left" w:pos="7371" w:leader="none"/>
        </w:tabs>
        <w:ind w:right="1133" w:hanging="0"/>
        <w:jc w:val="both"/>
        <w:rPr/>
      </w:pPr>
      <w:r>
        <w:rPr/>
      </w:r>
    </w:p>
    <w:p>
      <w:pPr>
        <w:pStyle w:val="Standard"/>
        <w:pBdr>
          <w:top w:val="single" w:sz="4" w:space="1" w:color="00000A"/>
          <w:left w:val="single" w:sz="4" w:space="4" w:color="00000A"/>
          <w:bottom w:val="single" w:sz="4" w:space="1" w:color="00000A"/>
          <w:right w:val="single" w:sz="4" w:space="4" w:color="00000A"/>
        </w:pBdr>
        <w:ind w:left="142" w:right="-1" w:hanging="0"/>
        <w:jc w:val="both"/>
        <w:rPr>
          <w:sz w:val="20"/>
          <w:szCs w:val="20"/>
        </w:rPr>
      </w:pPr>
      <w:r>
        <w:rPr>
          <w:b/>
          <w:sz w:val="20"/>
          <w:szCs w:val="20"/>
        </w:rPr>
        <w:t>PROCEDURA, EX ART 36 C 2 LETTERA B) DLGS 50 / 2016 e LINEE GUIDA ANAC 4 - AFFIDAMENTO DELLE PRESTAZIONI AFFERENTI IL VIAGGIO DELLA MEMORIA 2019 PER LE SCUOLE SUPERIORI DELLA PROVINCIA DI CREMONA ADERENTI ALL’ACCORDO DI RETE “ESSERE CITTADINI EUROPEI.  PERCORSO PER UNA MEMORIA EUROPEA ATTIVA” ANNO SCOLASTICO 2018/19.</w:t>
      </w:r>
    </w:p>
    <w:p>
      <w:pPr>
        <w:pStyle w:val="Normal"/>
        <w:tabs>
          <w:tab w:val="left" w:pos="2552" w:leader="none"/>
          <w:tab w:val="left" w:pos="7371" w:leader="none"/>
        </w:tabs>
        <w:ind w:right="1133" w:hanging="0"/>
        <w:jc w:val="both"/>
        <w:rPr>
          <w:sz w:val="22"/>
          <w:szCs w:val="22"/>
        </w:rPr>
      </w:pPr>
      <w:r>
        <w:rPr>
          <w:sz w:val="22"/>
          <w:szCs w:val="22"/>
        </w:rPr>
      </w:r>
    </w:p>
    <w:p>
      <w:pPr>
        <w:pStyle w:val="Normal"/>
        <w:ind w:left="6372" w:hanging="0"/>
        <w:jc w:val="both"/>
        <w:rPr/>
      </w:pPr>
      <w:r>
        <w:rPr/>
      </w:r>
    </w:p>
    <w:p>
      <w:pPr>
        <w:pStyle w:val="Normal"/>
        <w:jc w:val="both"/>
        <w:rPr>
          <w:strike/>
        </w:rPr>
      </w:pPr>
      <w:r>
        <w:rPr/>
        <w:t>Il sottoscritto ...............................................................................................................................................</w:t>
      </w:r>
    </w:p>
    <w:p>
      <w:pPr>
        <w:pStyle w:val="Normal"/>
        <w:jc w:val="both"/>
        <w:rPr/>
      </w:pPr>
      <w:r>
        <w:rPr/>
      </w:r>
    </w:p>
    <w:p>
      <w:pPr>
        <w:pStyle w:val="Normal"/>
        <w:jc w:val="both"/>
        <w:rPr>
          <w:strike/>
        </w:rPr>
      </w:pPr>
      <w:r>
        <w:rPr/>
        <w:t>nato il ....................................... a ................................................................................................................</w:t>
      </w:r>
    </w:p>
    <w:p>
      <w:pPr>
        <w:pStyle w:val="Normal"/>
        <w:jc w:val="both"/>
        <w:rPr/>
      </w:pPr>
      <w:r>
        <w:rPr/>
      </w:r>
    </w:p>
    <w:p>
      <w:pPr>
        <w:pStyle w:val="Normal"/>
        <w:jc w:val="both"/>
        <w:rPr>
          <w:strike/>
        </w:rPr>
      </w:pPr>
      <w:r>
        <w:rPr/>
        <w:t>residente in ............................................................... via ............................................................... n. ……</w:t>
      </w:r>
    </w:p>
    <w:p>
      <w:pPr>
        <w:pStyle w:val="Normal"/>
        <w:jc w:val="both"/>
        <w:rPr/>
      </w:pPr>
      <w:r>
        <w:rPr/>
      </w:r>
    </w:p>
    <w:p>
      <w:pPr>
        <w:pStyle w:val="Normal"/>
        <w:jc w:val="both"/>
        <w:rPr>
          <w:strike/>
        </w:rPr>
      </w:pPr>
      <w:r>
        <w:rPr/>
        <w:t>codice fiscale n ............................................................................................................................................</w:t>
      </w:r>
    </w:p>
    <w:p>
      <w:pPr>
        <w:pStyle w:val="Normal"/>
        <w:jc w:val="both"/>
        <w:rPr/>
      </w:pPr>
      <w:r>
        <w:rPr/>
      </w:r>
    </w:p>
    <w:p>
      <w:pPr>
        <w:pStyle w:val="Normal"/>
        <w:jc w:val="both"/>
        <w:rPr>
          <w:strike/>
        </w:rPr>
      </w:pPr>
      <w:r>
        <w:rPr/>
        <w:t>in qualità di ..................................................................................................................................................</w:t>
      </w:r>
    </w:p>
    <w:p>
      <w:pPr>
        <w:pStyle w:val="Normal"/>
        <w:jc w:val="both"/>
        <w:rPr/>
      </w:pPr>
      <w:r>
        <w:rPr/>
      </w:r>
    </w:p>
    <w:p>
      <w:pPr>
        <w:pStyle w:val="Normal"/>
        <w:jc w:val="both"/>
        <w:rPr>
          <w:b/>
          <w:b/>
        </w:rPr>
      </w:pPr>
      <w:r>
        <w:rPr/>
        <w:t>dell’</w:t>
      </w:r>
      <w:r>
        <w:rPr>
          <w:b/>
        </w:rPr>
        <w:t xml:space="preserve">Agenzia / Tour operator </w:t>
      </w:r>
    </w:p>
    <w:p>
      <w:pPr>
        <w:pStyle w:val="Normal"/>
        <w:jc w:val="both"/>
        <w:rPr>
          <w:strike/>
        </w:rPr>
      </w:pPr>
      <w:r>
        <w:rPr/>
        <w:t>.............................................................................................................................</w:t>
      </w:r>
    </w:p>
    <w:p>
      <w:pPr>
        <w:pStyle w:val="Normal"/>
        <w:jc w:val="both"/>
        <w:rPr/>
      </w:pPr>
      <w:r>
        <w:rPr/>
      </w:r>
    </w:p>
    <w:p>
      <w:pPr>
        <w:pStyle w:val="Normal"/>
        <w:jc w:val="both"/>
        <w:rPr>
          <w:strike/>
        </w:rPr>
      </w:pPr>
      <w:r>
        <w:rPr/>
        <w:t>con sede legale in ............................................................ via ............................................................ n. ……</w:t>
      </w:r>
    </w:p>
    <w:p>
      <w:pPr>
        <w:pStyle w:val="Normal"/>
        <w:jc w:val="both"/>
        <w:rPr/>
      </w:pPr>
      <w:r>
        <w:rPr/>
      </w:r>
    </w:p>
    <w:p>
      <w:pPr>
        <w:pStyle w:val="Normal"/>
        <w:jc w:val="both"/>
        <w:rPr>
          <w:strike/>
        </w:rPr>
      </w:pPr>
      <w:r>
        <w:rPr/>
        <w:t>sede operativa in ................................................................. via .....................................................................</w:t>
      </w:r>
    </w:p>
    <w:p>
      <w:pPr>
        <w:pStyle w:val="Normal"/>
        <w:jc w:val="both"/>
        <w:rPr/>
      </w:pPr>
      <w:r>
        <w:rPr/>
      </w:r>
    </w:p>
    <w:p>
      <w:pPr>
        <w:pStyle w:val="Normal"/>
        <w:jc w:val="both"/>
        <w:rPr>
          <w:strike/>
        </w:rPr>
      </w:pPr>
      <w:r>
        <w:rPr/>
        <w:t xml:space="preserve">codice fiscale n. ............................................................... partita IVA n. ....................................................... </w:t>
      </w:r>
    </w:p>
    <w:p>
      <w:pPr>
        <w:pStyle w:val="Normal"/>
        <w:jc w:val="both"/>
        <w:rPr>
          <w:strike/>
        </w:rPr>
      </w:pPr>
      <w:r>
        <w:rPr>
          <w:strike/>
        </w:rPr>
      </w:r>
    </w:p>
    <w:p>
      <w:pPr>
        <w:pStyle w:val="Normal"/>
        <w:jc w:val="both"/>
        <w:rPr/>
      </w:pPr>
      <w:r>
        <w:rPr/>
      </w:r>
    </w:p>
    <w:p>
      <w:pPr>
        <w:pStyle w:val="Normal"/>
        <w:jc w:val="both"/>
        <w:rPr>
          <w:strike/>
        </w:rPr>
      </w:pPr>
      <w:r>
        <w:rPr/>
        <w:t>a conoscenza di quanto prescritto dall’art.75 DPR n.445 28.12.2000 sulla decadenza dei benefici eventualmente conseguenti al provvedimento emanato sulla base di dichiarazioni non veritiere e dal successivo art 76 del citato DPR sulla responsabilità penale in caso di dichiarazioni mendaci, sotto la propria responsabilità</w:t>
      </w:r>
    </w:p>
    <w:p>
      <w:pPr>
        <w:pStyle w:val="Normal"/>
        <w:jc w:val="both"/>
        <w:rPr>
          <w:strike/>
        </w:rPr>
      </w:pPr>
      <w:r>
        <w:rPr>
          <w:strike/>
        </w:rPr>
      </w:r>
    </w:p>
    <w:p>
      <w:pPr>
        <w:pStyle w:val="Normal"/>
        <w:jc w:val="both"/>
        <w:rPr/>
      </w:pPr>
      <w:r>
        <w:rPr/>
        <w:t>ai sensi dell’art. 27 DPR 445/2000</w:t>
      </w:r>
    </w:p>
    <w:p>
      <w:pPr>
        <w:pStyle w:val="Normal"/>
        <w:jc w:val="both"/>
        <w:rPr/>
      </w:pPr>
      <w:r>
        <w:rPr/>
      </w:r>
    </w:p>
    <w:p>
      <w:pPr>
        <w:pStyle w:val="Normal"/>
        <w:jc w:val="both"/>
        <w:rPr/>
      </w:pPr>
      <w:r>
        <w:rPr/>
        <w:t>DICHIARA</w:t>
      </w:r>
      <w:r>
        <w:rPr>
          <w:rStyle w:val="Richiamoallanotaapidipagina"/>
        </w:rPr>
        <w:footnoteReference w:id="2"/>
      </w:r>
    </w:p>
    <w:p>
      <w:pPr>
        <w:pStyle w:val="Normal"/>
        <w:jc w:val="both"/>
        <w:rPr/>
      </w:pPr>
      <w:r>
        <w:rPr/>
      </w:r>
    </w:p>
    <w:p>
      <w:pPr>
        <w:pStyle w:val="Normal"/>
        <w:jc w:val="both"/>
        <w:rPr/>
      </w:pPr>
      <w:r>
        <w:rPr/>
        <w:t xml:space="preserve">[ 1 ] </w:t>
      </w:r>
    </w:p>
    <w:p>
      <w:pPr>
        <w:pStyle w:val="Normal"/>
        <w:jc w:val="both"/>
        <w:rPr/>
      </w:pPr>
      <w:r>
        <w:rPr/>
      </w:r>
    </w:p>
    <w:p>
      <w:pPr>
        <w:pStyle w:val="Normal"/>
        <w:numPr>
          <w:ilvl w:val="0"/>
          <w:numId w:val="1"/>
        </w:numPr>
        <w:jc w:val="both"/>
        <w:rPr/>
      </w:pPr>
      <w:r>
        <w:rPr/>
        <w:t>di voler partecipare alla presente procedura, come da lettera D2) dell’avviso di indagine di mercato / manifestazione di interesse, in proprio e con utilizzo delle prestazioni della Società di Autotrasporto …………………………………………………………………………………….. ;</w:t>
      </w:r>
    </w:p>
    <w:p>
      <w:pPr>
        <w:pStyle w:val="Normal"/>
        <w:jc w:val="both"/>
        <w:rPr>
          <w:highlight w:val="red"/>
        </w:rPr>
      </w:pPr>
      <w:r>
        <w:rPr>
          <w:highlight w:val="red"/>
        </w:rPr>
      </w:r>
    </w:p>
    <w:p>
      <w:pPr>
        <w:pStyle w:val="Normal"/>
        <w:numPr>
          <w:ilvl w:val="0"/>
          <w:numId w:val="1"/>
        </w:numPr>
        <w:jc w:val="both"/>
        <w:rPr/>
      </w:pPr>
      <w:r>
        <w:rPr/>
        <w:t>che allegherà, qualora invitato alla successiva</w:t>
      </w:r>
      <w:bookmarkStart w:id="0" w:name="_GoBack"/>
      <w:bookmarkEnd w:id="0"/>
      <w:r>
        <w:rPr/>
        <w:t xml:space="preserve"> procedura di gara, copia del contratto / accordo </w:t>
      </w:r>
      <w:r>
        <w:rPr>
          <w:lang w:eastAsia="en-US"/>
        </w:rPr>
        <w:t xml:space="preserve">tra </w:t>
      </w:r>
      <w:r>
        <w:rPr/>
        <w:t xml:space="preserve">Agenzia / Tour Operator </w:t>
      </w:r>
      <w:r>
        <w:rPr>
          <w:lang w:eastAsia="en-US"/>
        </w:rPr>
        <w:t>e Società di autotrasporto, sottoscritto in data precedente alla domanda di partecipazione alla gara stessa, che dimostri la pregressa collaborazione tra i due soggetti nonchè l’impegno ai fini dello svolgimento del presente appalto,</w:t>
      </w:r>
      <w:r>
        <w:rPr/>
        <w:t xml:space="preserve"> nello spirito di cui all’</w:t>
      </w:r>
      <w:r>
        <w:rPr>
          <w:lang w:eastAsia="en-US"/>
        </w:rPr>
        <w:t>art 106 c 3 lettera c-bis DLgs 50 / 2016;</w:t>
      </w:r>
    </w:p>
    <w:p>
      <w:pPr>
        <w:pStyle w:val="Normal"/>
        <w:jc w:val="both"/>
        <w:rPr>
          <w:strike/>
        </w:rPr>
      </w:pPr>
      <w:r>
        <w:rPr>
          <w:strike/>
        </w:rPr>
      </w:r>
    </w:p>
    <w:p>
      <w:pPr>
        <w:pStyle w:val="Normal"/>
        <w:jc w:val="both"/>
        <w:rPr>
          <w:i/>
          <w:i/>
        </w:rPr>
      </w:pPr>
      <w:r>
        <w:rPr>
          <w:i/>
        </w:rPr>
        <w:t>oppure</w:t>
      </w:r>
    </w:p>
    <w:p>
      <w:pPr>
        <w:pStyle w:val="Normal"/>
        <w:jc w:val="both"/>
        <w:rPr>
          <w:strike/>
        </w:rPr>
      </w:pPr>
      <w:r>
        <w:rPr>
          <w:strike/>
        </w:rPr>
      </w:r>
    </w:p>
    <w:p>
      <w:pPr>
        <w:pStyle w:val="Normal"/>
        <w:jc w:val="both"/>
        <w:rPr/>
      </w:pPr>
      <w:r>
        <w:rPr/>
        <w:t xml:space="preserve">[ 2 ] </w:t>
      </w:r>
    </w:p>
    <w:p>
      <w:pPr>
        <w:pStyle w:val="Normal"/>
        <w:jc w:val="both"/>
        <w:rPr/>
      </w:pPr>
      <w:r>
        <w:rPr/>
      </w:r>
    </w:p>
    <w:p>
      <w:pPr>
        <w:pStyle w:val="Normal"/>
        <w:jc w:val="both"/>
        <w:rPr/>
      </w:pPr>
      <w:r>
        <w:rPr/>
        <w:t>di voler partecipare alla presente procedura nella seguente forma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E DICHIARA INOLTRE:</w:t>
      </w:r>
    </w:p>
    <w:p>
      <w:pPr>
        <w:pStyle w:val="Stile"/>
        <w:spacing w:before="192" w:after="0"/>
        <w:ind w:right="19" w:hanging="0"/>
        <w:jc w:val="both"/>
        <w:rPr>
          <w:rFonts w:eastAsia="Times New Roman"/>
          <w:sz w:val="20"/>
          <w:szCs w:val="20"/>
          <w:lang w:eastAsia="en-US"/>
        </w:rPr>
      </w:pPr>
      <w:r>
        <w:rPr>
          <w:rFonts w:eastAsia="Times New Roman"/>
          <w:sz w:val="20"/>
          <w:szCs w:val="20"/>
          <w:lang w:eastAsia="en-US"/>
        </w:rPr>
        <w:t xml:space="preserve">a) che l’operatore economico, i suoi amministratori e gli altri soggetti di cui all’art. 80 DLgs 50/2016 sono in possesso dei requisiti di carattere generale (insussistenza dei motivi di esclusione) di cui al medesimo art 80; </w:t>
      </w:r>
    </w:p>
    <w:p>
      <w:pPr>
        <w:pStyle w:val="Stile"/>
        <w:spacing w:before="163" w:after="0"/>
        <w:ind w:right="-1" w:hanging="0"/>
        <w:jc w:val="both"/>
        <w:rPr>
          <w:sz w:val="22"/>
          <w:szCs w:val="22"/>
          <w:lang w:eastAsia="en-US"/>
        </w:rPr>
      </w:pPr>
      <w:r>
        <w:rPr>
          <w:rFonts w:eastAsia="Times New Roman"/>
          <w:sz w:val="20"/>
          <w:szCs w:val="20"/>
          <w:lang w:eastAsia="en-US"/>
        </w:rPr>
        <w:t xml:space="preserve">b) di essere in possesso dei requisiti generali e speciali di cui alle lettere D), E), F) dell’avviso di indagine di mercato / manifestazione di interesse relativo alla presente procedura (avviso che si intende qui integralmente riportato);  </w:t>
      </w:r>
    </w:p>
    <w:p>
      <w:pPr>
        <w:pStyle w:val="Normal"/>
        <w:jc w:val="both"/>
        <w:rPr/>
      </w:pPr>
      <w:r>
        <w:rPr/>
      </w:r>
    </w:p>
    <w:p>
      <w:pPr>
        <w:pStyle w:val="Normal"/>
        <w:jc w:val="both"/>
        <w:rPr/>
      </w:pPr>
      <w:r>
        <w:rPr/>
        <w:t>c) di essere a conoscenza che la presente istanza non costituisce prova di possesso dei requisiti generali e speciali di cui sopra, possesso che invece dovrà essere dimostrato dal partecipante in sede di partecipazione alla gara, e che potrà essere accertato dalla stazione appaltante con autonomia di approfondimento e richieste di chiarimento.</w:t>
      </w:r>
    </w:p>
    <w:p>
      <w:pPr>
        <w:pStyle w:val="Normal"/>
        <w:jc w:val="both"/>
        <w:rPr>
          <w:strike/>
        </w:rPr>
      </w:pPr>
      <w:r>
        <w:rPr>
          <w:strike/>
        </w:rPr>
      </w:r>
    </w:p>
    <w:p>
      <w:pPr>
        <w:pStyle w:val="Normal"/>
        <w:jc w:val="both"/>
        <w:rPr>
          <w:strike/>
        </w:rPr>
      </w:pPr>
      <w:r>
        <w:rPr>
          <w:strike/>
        </w:rPr>
      </w:r>
    </w:p>
    <w:p>
      <w:pPr>
        <w:pStyle w:val="Normal"/>
        <w:jc w:val="both"/>
        <w:rPr/>
      </w:pPr>
      <w:r>
        <w:rPr/>
        <w:t>Luogo e data __________________________________</w:t>
      </w:r>
    </w:p>
    <w:p>
      <w:pPr>
        <w:pStyle w:val="Normal"/>
        <w:jc w:val="both"/>
        <w:rPr>
          <w:strike/>
        </w:rPr>
      </w:pPr>
      <w:r>
        <w:rPr>
          <w:strike/>
        </w:rPr>
      </w:r>
    </w:p>
    <w:p>
      <w:pPr>
        <w:pStyle w:val="Normal"/>
        <w:jc w:val="both"/>
        <w:rPr>
          <w:strike/>
        </w:rPr>
      </w:pPr>
      <w:r>
        <w:rPr>
          <w:strike/>
        </w:rPr>
      </w:r>
    </w:p>
    <w:p>
      <w:pPr>
        <w:pStyle w:val="Normal"/>
        <w:jc w:val="both"/>
        <w:rPr>
          <w:b/>
          <w:b/>
        </w:rPr>
      </w:pPr>
      <w:r>
        <w:rPr/>
        <w:t>Timbro e firma legale rappresentante dell’</w:t>
      </w:r>
      <w:r>
        <w:rPr>
          <w:b/>
        </w:rPr>
        <w:t xml:space="preserve">Agenzia / Tour operator </w:t>
      </w:r>
    </w:p>
    <w:p>
      <w:pPr>
        <w:pStyle w:val="Normal"/>
        <w:jc w:val="both"/>
        <w:rPr>
          <w:strike/>
        </w:rPr>
      </w:pPr>
      <w:r>
        <w:rPr/>
        <w:t xml:space="preserve"> </w:t>
      </w:r>
      <w:r>
        <w:rPr/>
        <w:t>__________________________________________</w:t>
      </w:r>
    </w:p>
    <w:p>
      <w:pPr>
        <w:pStyle w:val="Normal"/>
        <w:jc w:val="both"/>
        <w:rPr>
          <w:strike/>
        </w:rPr>
      </w:pPr>
      <w:r>
        <w:rPr>
          <w:strike/>
        </w:rPr>
      </w:r>
    </w:p>
    <w:p>
      <w:pPr>
        <w:pStyle w:val="Normal"/>
        <w:jc w:val="both"/>
        <w:rPr>
          <w:b/>
          <w:b/>
          <w:bCs/>
          <w:strike/>
          <w:sz w:val="22"/>
          <w:szCs w:val="22"/>
        </w:rPr>
      </w:pPr>
      <w:r>
        <w:rPr>
          <w:b/>
          <w:bCs/>
          <w:strike/>
          <w:sz w:val="22"/>
          <w:szCs w:val="22"/>
        </w:rPr>
      </w:r>
    </w:p>
    <w:p>
      <w:pPr>
        <w:pStyle w:val="Normal"/>
        <w:ind w:right="98" w:hanging="0"/>
        <w:jc w:val="both"/>
        <w:rPr>
          <w:bCs/>
          <w:i/>
          <w:i/>
        </w:rPr>
      </w:pPr>
      <w:r>
        <w:rPr>
          <w:b/>
          <w:bCs/>
          <w:i/>
        </w:rPr>
        <w:t>N.B. Allegare copia firmata del documento d’identità del sottoscrittore in corso di validità</w:t>
      </w:r>
    </w:p>
    <w:p>
      <w:pPr>
        <w:pStyle w:val="Normal"/>
        <w:ind w:right="98" w:hanging="0"/>
        <w:jc w:val="both"/>
        <w:rPr>
          <w:bCs/>
        </w:rPr>
      </w:pPr>
      <w:r>
        <w:rPr>
          <w:bCs/>
        </w:rPr>
      </w:r>
    </w:p>
    <w:p>
      <w:pPr>
        <w:pStyle w:val="Normal"/>
        <w:ind w:right="98" w:hanging="0"/>
        <w:jc w:val="both"/>
        <w:rPr>
          <w:bCs/>
        </w:rPr>
      </w:pPr>
      <w:r>
        <w:rPr>
          <w:bCs/>
        </w:rPr>
      </w:r>
    </w:p>
    <w:p>
      <w:pPr>
        <w:pStyle w:val="Normal"/>
        <w:ind w:right="98" w:hanging="0"/>
        <w:jc w:val="both"/>
        <w:rPr>
          <w:color w:val="000000"/>
          <w:highlight w:val="yellow"/>
        </w:rPr>
      </w:pPr>
      <w:r>
        <w:rPr>
          <w:b/>
          <w:color w:val="000000"/>
          <w:shd w:fill="F9F8F4" w:val="clear"/>
        </w:rPr>
        <w:t>Art. 80 DLgs 50 / 2016 (Motivi di esclusione)</w:t>
      </w:r>
      <w:r>
        <w:rPr>
          <w:color w:val="000000"/>
          <w:shd w:fill="F9F8F4" w:val="clear"/>
        </w:rPr>
        <w:t xml:space="preserve"> </w:t>
      </w:r>
    </w:p>
    <w:p>
      <w:pPr>
        <w:pStyle w:val="Normal"/>
        <w:ind w:right="98" w:hanging="0"/>
        <w:jc w:val="both"/>
        <w:rPr>
          <w:color w:val="000000"/>
          <w:highlight w:val="yellow"/>
        </w:rPr>
      </w:pPr>
      <w:r>
        <w:rPr>
          <w:color w:val="000000"/>
          <w:shd w:fill="F9F8F4" w:val="clear"/>
        </w:rPr>
        <w:t xml:space="preserve">1. Costituisce motivo di esclusione di un operatore economico dalla partecipazione a una procedura d'appalto o concessione, la condanna con sentenza definitiva o decreto penale di condanna divenuto irrevocabile o sentenza di applicazione della pena su richiesta ai sensi dell'articolo 444 del codice di procedura penale, anche riferita a un suo subappaltatore nei casi di cui all'articolo 105, comma 6, per uno dei seguenti reati: a) delitti, consumati o tentati, di cui agli articoli 416, 416-bis del codice penale ovvero delitti commessi avvalendosi delle condizioni previste dal predetto articolo 416-bis ovvero al fine di agevolare l'attivita' delle associazioni previste dallo stesso articolo, nonche'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b) delitti, consumati o tentati, di cui agli articoli 317, 318, 319, 319-ter, 319-quater, 320, 321, 322, 322-bis, 346-bis, 353, 353-bis, 354, 355 e 356 del codice penale nonche' all'articolo 2635 del codice civile; ((b-bis) false comunicazioni sociali di cui agli articoli 2621 e 2622 del codice civile;)) c)frode ai sensi dell'articolo 1 della convenzione relativa alla tutela degli interessi finanziari delle Comunita' europee; d)delitti, consumati o tentati, commessi con finalita' di terrorismo, anche internazionale, e di eversione dell'ordine costituzionale reati terroristici o reati connessi alle attivita' terroristiche; e)delitti di cui agli articoli 648-bis, 648-ter e 648-ter.1 del codice penale, riciclaggio di proventi di attivita' criminose o finanziamento del terrorismo, quali definiti all'articolo 1 del decreto legislativo 22 giugno 2007, n. 109 e successive modificazioni; f)sfruttamento del lavoro minorile e altre forme di tratta di esseri umani definite con il decreto legislativo 4 marzo 2014, n. 24; g)ogni altro delitto da cui derivi, quale pena accessoria, l'incapacita' di contrattare con la pubblica amministrazione((.)) </w:t>
      </w:r>
    </w:p>
    <w:p>
      <w:pPr>
        <w:pStyle w:val="Normal"/>
        <w:ind w:right="98" w:hanging="0"/>
        <w:jc w:val="both"/>
        <w:rPr>
          <w:color w:val="000000"/>
          <w:highlight w:val="yellow"/>
        </w:rPr>
      </w:pPr>
      <w:r>
        <w:rPr>
          <w:color w:val="000000"/>
          <w:shd w:fill="F9F8F4" w:val="clear"/>
        </w:rPr>
        <w:t xml:space="preserve">2. Costituisce altresi' motivo di esclusione la sussistenza ((, con riferimento ai soggetti indicati al comma 3,)) di cause di decadenza, di sospensione o di divieto previste dall'articolo 67 del decreto legislativo 6 settembre 2011, n. 159 o di un tentativo di infiltrazione mafiosa di cui all'articolo 84, comma 4, del medesimo decreto. Resta fermo quanto previsto dagli articoli 88, comma 4-bis, e 92, commi 2 e 3, del decreto legislativo 6 settembre 2011, n. 159, con riferimento rispettivamente alle comunicazioni antimafia e alle informazioni antimafia. </w:t>
      </w:r>
    </w:p>
    <w:p>
      <w:pPr>
        <w:pStyle w:val="Normal"/>
        <w:ind w:right="98" w:hanging="0"/>
        <w:jc w:val="both"/>
        <w:rPr>
          <w:color w:val="000000"/>
          <w:highlight w:val="yellow"/>
        </w:rPr>
      </w:pPr>
      <w:r>
        <w:rPr>
          <w:color w:val="000000"/>
          <w:shd w:fill="F9F8F4" w:val="clear"/>
        </w:rPr>
        <w:t xml:space="preserve">3. ((L'esclusione di cui ai commi 1 e 2)) va disposta se la sentenza o il decreto ((ovvero la misura interdittiva)) sono stati emessi nei confronti: del titolare o del direttore tecnico, se si tratta di impresa individuale; di un socio o del direttore tecnico, se si tratta di societa' in nome collettivo; dei soci accomandatari o del direttore tecnico, se si tratta di societa' in accomandita semplice; dei membri del consiglio di amministrazione cui sia stata conferita la legale rappresentanza, ((ivi compresi institori e procuratori generali, dei membri degli organi con poteri)) di direzione o di vigilanza o dei soggetti muniti di poteri di rappresentanza, di direzione o di controllo, del direttore tecnico o del socio unico persona fisica, ovvero del socio di maggioranza in caso di societa' con meno di quattro soci, se si tratta di altro tipo di societa'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e' stato depenalizzato ovvero quando e' intervenuta la riabilitazione ovvero quando il reato e' stato dichiarato estinto dopo la condanna ovvero in caso di revoca della condanna medesima. </w:t>
      </w:r>
    </w:p>
    <w:p>
      <w:pPr>
        <w:pStyle w:val="Normal"/>
        <w:ind w:right="98" w:hanging="0"/>
        <w:jc w:val="both"/>
        <w:rPr>
          <w:color w:val="000000"/>
          <w:highlight w:val="yellow"/>
        </w:rPr>
      </w:pPr>
      <w:r>
        <w:rPr>
          <w:color w:val="000000"/>
          <w:shd w:fill="F9F8F4" w:val="clear"/>
        </w:rPr>
        <w:t xml:space="preserve">4. Un operatore economico e'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piu' soggetti ad impugnazione. Costituiscono gravi violazioni in materia contributiva e previdenziale quelle ostative al rilascio del documento unico di regolarita' contributiva (DURC), ((di cui al)) decreto del Ministero del lavoro e delle politiche sociali 30 gennaio 2015, pubblicato sulla Gazzetta Ufficiale n. 125 del 1° giugno 2015 ((, ovvero delle certificazioni rilasciate dagli enti previdenziali di riferimento non aderenti al sistema dello sportello unico previdenziale)).Il presente comma non si applica quando l'operatore economico ha ottemperato ai suoi obblighi pagando o impegnandosi in modo vincolante a pagare le imposte o i contributi previdenziali dovuti, compresi eventuali interessi o multe, purche' il pagamento o l'impegno siano stati formalizzati prima della scadenza del termine per la presentazione delle domande. </w:t>
      </w:r>
    </w:p>
    <w:p>
      <w:pPr>
        <w:pStyle w:val="Normal"/>
        <w:ind w:right="98" w:hanging="0"/>
        <w:jc w:val="both"/>
        <w:rPr>
          <w:color w:val="000000"/>
          <w:highlight w:val="yellow"/>
        </w:rPr>
      </w:pPr>
      <w:r>
        <w:rPr>
          <w:color w:val="000000"/>
          <w:shd w:fill="F9F8F4" w:val="clear"/>
        </w:rPr>
        <w:t xml:space="preserve">5. Le stazioni appaltanti escludono dalla partecipazione alla procedura d'appalto un operatore economico in una delle seguenti situazioni, anche riferita a un suo subappaltatore nei casi di cui all'articolo 105, comma 6, qualora: a) la stazione appaltante possa dimostrare con qualunque mezzo adeguato la presenza di gravi infrazioni debitamente accertate alle norme in materia di salute e sicurezza sul lavoro nonche' agli obblighi di cui all'articolo 30, comma 3 del presente codice; b) l'operatore economico si trovi in stato di fallimento, di liquidazione coatta, di concordato preventivo, salvo il caso di concordato con continuita' aziendale, o nei cui riguardi sia in corso un procedimento per la dichiarazione di una di tali situazioni, fermo restando quanto previsto dall'articolo 110; c) la stazione appaltante dimostri con mezzi adeguati che l'operatore economico si e' reso colpevole di gravi illeciti professionali, tali da rendere dubbia la sua integrita' o affidabilita'.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 d) la partecipazione dell'operatore economico determini una situazione di conflitto di interesse ai sensi dell'articolo 42, comma 2, non diversamente risolvibile; e) una distorsione della concorrenza derivante dal precedente coinvolgimento degli operatori economici nella preparazione della procedura d'appalto di cui all'articolo 67 non possa essere risolta con misure meno intrusive; f) l'operatore economico sia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 ((f-bis) l'operatore economico che presenti nella procedura di gara in corso e negli affidamenti di subappalti documentazione o dichiarazioni non veritiere; f-ter) l'operatore economico iscritto nel casellario informatico tenuto dall'Osservatorio dell'ANAC per aver presentato false dichiarazioni o falsa documentazione nelle procedure di gara e negli affidamenti di subappalti. Il motivo di esclusione perdura fino a quando opera l'iscrizione nel casellario informatico;)) g) l'operatore economico iscritto nel casellario informatico tenuto dall'Osservatorio dell'ANAC per aver presentato false dichiarazioni o falsa documentazione ai fini del rilascio dell'attestazione di qualificazione, per il periodo durante il quale perdura l'iscrizione; h) l'operatore economico abbia violato il divieto di intestazione fiduciaria di cui all'articolo 17 della legge 19 marzo 1990, n. 55. L'esclusione ha durata di un anno decorrente dall'accertamento definitivo della violazione e va comunque disposta se la violazione non e' stata rimossa; i) l'operatore economico non presenti la certificazione di cui all'articolo 17 della legge 12 marzo 1999, n. 68, ovvero ((non)) autocertifichi la sussistenza del medesimo requisito; l) l'operatore economico che, pur essendo stato vittima dei reati previsti e puniti dagli articoli 317 e 629 del codice penale aggravati ai sensi dell'articolo 7 del decreto-legge 13 maggio 1991, n. 152, convertito, con modificazioni, dalla legge 12 luglio 1991, n. 203, non risulti aver denunciato i fatti all'autorita' giudiziaria, salvo che ricorrano i casi previsti dall'articolo 4, primo comma, della legge 24 novembre 1981, n. 689. La circostanza di cui al primo periodo deve emergere dagli indizi a base della richiesta di rinvio a giudizio formulata nei confronti dell'imputato nell'anno antecedente alla pubblicazione del bando e deve essere comunicata, unitamente alle generalita' del soggetto che ha omesso la predetta denuncia, dal procuratore della Repubblica procedente all'ANAC, la quale cura la pubblicazione della comunicazione sul sito dell'Osservatorio; m) l'operatore economico si trovi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 </w:t>
      </w:r>
    </w:p>
    <w:p>
      <w:pPr>
        <w:pStyle w:val="Normal"/>
        <w:ind w:right="98" w:hanging="0"/>
        <w:jc w:val="both"/>
        <w:rPr>
          <w:color w:val="000000"/>
          <w:highlight w:val="yellow"/>
        </w:rPr>
      </w:pPr>
      <w:r>
        <w:rPr>
          <w:color w:val="000000"/>
          <w:shd w:fill="F9F8F4" w:val="clear"/>
        </w:rPr>
        <w:t xml:space="preserve">6. Le stazioni appaltanti escludono un operatore economico in qualunque momento della procedura, qualora risulti che l'operatore economico si trova, a causa di atti compiuti o omessi prima o nel corso della procedura, in una delle situazioni di cui ai commi 1,2,4 e 5. </w:t>
      </w:r>
    </w:p>
    <w:p>
      <w:pPr>
        <w:pStyle w:val="Normal"/>
        <w:ind w:right="98" w:hanging="0"/>
        <w:jc w:val="both"/>
        <w:rPr>
          <w:color w:val="000000"/>
          <w:highlight w:val="yellow"/>
        </w:rPr>
      </w:pPr>
      <w:r>
        <w:rPr>
          <w:color w:val="000000"/>
          <w:shd w:fill="F9F8F4" w:val="clear"/>
        </w:rPr>
        <w:t xml:space="preserve">7. Un operatore economico, o un subappaltatore, che si trovi in una delle situazioni di cui al comma 1, limitatamente alle ipotesi in cui la sentenza definitiva abbia imposto una pena detentiva non superiore a 18 mesi ovvero abbia riconosciuto l'attenuante della collaborazione come definita per le singole fattispecie di reato, o al comma 5, e' ammesso a provare di aver risarcito o di essersi impegnato a risarcire qualunque danno causato dal reato o dall'illecito e di aver adottato provvedimenti concreti di carattere tecnico, organizzativo e relativi al personale idonei a prevenire ulteriori reati o illeciti. </w:t>
      </w:r>
    </w:p>
    <w:p>
      <w:pPr>
        <w:pStyle w:val="Normal"/>
        <w:ind w:right="98" w:hanging="0"/>
        <w:jc w:val="both"/>
        <w:rPr>
          <w:color w:val="000000"/>
          <w:highlight w:val="yellow"/>
        </w:rPr>
      </w:pPr>
      <w:r>
        <w:rPr>
          <w:color w:val="000000"/>
          <w:shd w:fill="F9F8F4" w:val="clear"/>
        </w:rPr>
        <w:t xml:space="preserve">8. Se la stazione appaltante ritiene che le misure di cui al comma 7 sono sufficienti, l'operatore economico non e' escluso della procedura d'appalto; viceversa dell'esclusione viene data motivata comunicazione all'operatore economico. </w:t>
      </w:r>
    </w:p>
    <w:p>
      <w:pPr>
        <w:pStyle w:val="Normal"/>
        <w:ind w:right="98" w:hanging="0"/>
        <w:jc w:val="both"/>
        <w:rPr>
          <w:color w:val="000000"/>
          <w:highlight w:val="yellow"/>
        </w:rPr>
      </w:pPr>
      <w:r>
        <w:rPr>
          <w:color w:val="000000"/>
          <w:shd w:fill="F9F8F4" w:val="clear"/>
        </w:rPr>
        <w:t xml:space="preserve">9. Un operatore economico escluso con sentenza definitiva dalla partecipazione alle procedure di appalto non puo' avvalersi della possibilita' prevista dai commi 7 e 8 nel corso del periodo di esclusione derivante da tale sentenza. </w:t>
      </w:r>
    </w:p>
    <w:p>
      <w:pPr>
        <w:pStyle w:val="Normal"/>
        <w:ind w:right="98" w:hanging="0"/>
        <w:jc w:val="both"/>
        <w:rPr>
          <w:color w:val="000000"/>
          <w:highlight w:val="yellow"/>
        </w:rPr>
      </w:pPr>
      <w:r>
        <w:rPr>
          <w:color w:val="000000"/>
          <w:shd w:fill="F9F8F4" w:val="clear"/>
        </w:rPr>
        <w:t xml:space="preserve">10. Se la sentenza di condanna definitiva non fissa la durata della pena accessoria della incapacita' di contrattare con la pubblica amministrazione, ovvero non sia intervenuta riabilitazione, tale durata e' pari a cinque anni, salvo che la pena principale sia di durata inferiore, e in tale caso e' pari alla durata della pena principale ((e a tre anni, decorrenti dalla data del suo accertamento definitivo, nei casi di cui ai commi 4 e 5 ove non sia intervenuta sentenza di condanna)). </w:t>
      </w:r>
    </w:p>
    <w:p>
      <w:pPr>
        <w:pStyle w:val="Normal"/>
        <w:ind w:right="98" w:hanging="0"/>
        <w:jc w:val="both"/>
        <w:rPr>
          <w:color w:val="000000"/>
          <w:highlight w:val="yellow"/>
        </w:rPr>
      </w:pPr>
      <w:r>
        <w:rPr>
          <w:color w:val="000000"/>
          <w:shd w:fill="F9F8F4" w:val="clear"/>
        </w:rPr>
        <w:t xml:space="preserve">11. Le cause di esclusione previste dal presente articolo non si applicano alle aziende o societa' sottoposte a sequestro o confisca ai sensi dell'articolo 12-sexies del decreto-legge 8 giugno 1992, n. 306, convertito, con modificazioni, dalla legge 7 agosto 1992, n. 356 o degli articoli 20 e 24 del decreto legislativo 6 settembre 2011 n. 159, ed affidate ad un custode o amministratore giudiziario o finanziario, limitatamente a quelle riferite al periodo precedente al predetto affidamento. </w:t>
      </w:r>
    </w:p>
    <w:p>
      <w:pPr>
        <w:pStyle w:val="Normal"/>
        <w:ind w:right="98" w:hanging="0"/>
        <w:jc w:val="both"/>
        <w:rPr>
          <w:color w:val="000000"/>
          <w:highlight w:val="yellow"/>
        </w:rPr>
      </w:pPr>
      <w:r>
        <w:rPr>
          <w:color w:val="000000"/>
          <w:shd w:fill="F9F8F4" w:val="clear"/>
        </w:rPr>
        <w:t xml:space="preserve">12. In caso di presentazione di falsa dichiarazione o falsa documentazione, nelle procedure di gara e negli affidamenti di subappalto, la stazione appaltante ne da' segnalazione all'Autorita' che, se ritiene che siano state rese con dolo o colpa grave in considerazione della rilevanza o della gravita' dei fatti oggetto della falsa dichiarazione o della presentazione di falsa documentazione, dispone l'iscrizione nel casellario informatico ai fini dell'esclusione dalle procedure di gara e dagli affidamenti di subappalto ai sensi del comma 1 fino a due anni, decorso il quale l'iscrizione e' cancellata e perde comunque efficacia. 13. Con linee guida l'ANAC, da adottarsi entro novanta giorni dalla data di entrata in vigore del presente codice, puo' precisare, al fine di garantire omogeneita' di prassi da parte delle stazioni appaltanti, quali mezzi di prova considerare adeguati per la dimostrazione delle circostanze di esclusione di cui al comma 5, lettera c), ovvero quali carenze nell'esecuzione di un procedente contratto di appalto siano significative ai fini del medesimo comma 5, lettera c). </w:t>
      </w:r>
    </w:p>
    <w:p>
      <w:pPr>
        <w:pStyle w:val="Normal"/>
        <w:ind w:right="98" w:hanging="0"/>
        <w:jc w:val="both"/>
        <w:rPr>
          <w:bCs/>
        </w:rPr>
      </w:pPr>
      <w:r>
        <w:rPr>
          <w:color w:val="000000"/>
          <w:shd w:fill="F9F8F4" w:val="clear"/>
        </w:rPr>
        <w:t>14 . Non possono essere affidatari di subappalti e non possono stipulare i relativi contratti i soggetti per i quali ricorrano i motivi di esclusione previsti dal presente articolo.</w:t>
      </w:r>
    </w:p>
    <w:p>
      <w:pPr>
        <w:pStyle w:val="Normal"/>
        <w:jc w:val="both"/>
        <w:rPr/>
      </w:pPr>
      <w:r>
        <w:rPr/>
      </w:r>
    </w:p>
    <w:sectPr>
      <w:footerReference w:type="default" r:id="rId2"/>
      <w:footnotePr>
        <w:numFmt w:val="decimal"/>
      </w:footnotePr>
      <w:type w:val="nextPage"/>
      <w:pgSz w:w="11906" w:h="16838"/>
      <w:pgMar w:left="1701" w:right="1701" w:header="0" w:top="1134" w:footer="720" w:bottom="1134" w:gutter="0"/>
      <w:pgNumType w:fmt="decimal"/>
      <w:formProt w:val="false"/>
      <w:textDirection w:val="lrTb"/>
      <w:docGrid w:type="default" w:linePitch="249"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 w:name="Calibri">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center"/>
      <w:rPr/>
    </w:pPr>
    <w:r>
      <w:rPr/>
      <w:fldChar w:fldCharType="begin"/>
    </w:r>
    <w:r>
      <w:instrText> PAGE </w:instrText>
    </w:r>
    <w:r>
      <w:fldChar w:fldCharType="separate"/>
    </w:r>
    <w:r>
      <w:t>4</w:t>
    </w:r>
    <w:r>
      <w:fldChar w:fldCharType="end"/>
    </w:r>
  </w:p>
  <w:p>
    <w:pPr>
      <w:pStyle w:val="Pidipagina"/>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t xml:space="preserve">Barrare quanto di interesse tra [1] e [2].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4"/>
      <w:numFmt w:val="bullet"/>
      <w:lvlText w:val=""/>
      <w:lvlJc w:val="left"/>
      <w:pPr>
        <w:ind w:left="720" w:hanging="360"/>
      </w:pPr>
      <w:rPr>
        <w:rFonts w:ascii="Symbol" w:hAnsi="Symbol" w:cs="Symbol"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64"/>
  <w:embedSystemFonts/>
  <w:defaultTabStop w:val="708"/>
  <w:footnotePr>
    <w:numFmt w:val="decimal"/>
    <w:footnote w:id="0"/>
    <w:footnote w:id="1"/>
  </w:footnotePr>
  <w:compat>
    <w:compatSetting w:name="compatibilityMode" w:uri="http://schemas.microsoft.com/office/word" w:val="1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it-IT" w:eastAsia="it-IT" w:bidi="ar-SA"/>
    </w:rPr>
  </w:style>
  <w:style w:type="paragraph" w:styleId="Titolo1">
    <w:name w:val="Heading 1"/>
    <w:basedOn w:val="Normal"/>
    <w:qFormat/>
    <w:pPr>
      <w:keepNext/>
      <w:jc w:val="center"/>
      <w:outlineLvl w:val="0"/>
    </w:pPr>
    <w:rPr>
      <w:rFonts w:ascii="Arial" w:hAnsi="Arial"/>
      <w:sz w:val="24"/>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dd4a63"/>
    <w:rPr/>
  </w:style>
  <w:style w:type="character" w:styleId="SottotitoloCarattere" w:customStyle="1">
    <w:name w:val="Sottotitolo Carattere"/>
    <w:link w:val="Sottotitolo"/>
    <w:qFormat/>
    <w:rsid w:val="00f66b09"/>
    <w:rPr>
      <w:rFonts w:ascii="Arial" w:hAnsi="Arial" w:eastAsia="MS Mincho" w:cs="Tahoma"/>
      <w:i/>
      <w:iCs/>
      <w:sz w:val="28"/>
      <w:szCs w:val="28"/>
      <w:lang w:val="it-IT" w:eastAsia="ar-SA" w:bidi="ar-SA"/>
    </w:rPr>
  </w:style>
  <w:style w:type="character" w:styleId="Footnotereference">
    <w:name w:val="footnote reference"/>
    <w:semiHidden/>
    <w:qFormat/>
    <w:rsid w:val="007d7595"/>
    <w:rPr>
      <w:vertAlign w:val="superscript"/>
    </w:rPr>
  </w:style>
  <w:style w:type="character" w:styleId="TitoloCarattere" w:customStyle="1">
    <w:name w:val="Titolo Carattere"/>
    <w:link w:val="Titolo"/>
    <w:qFormat/>
    <w:rsid w:val="000f282a"/>
    <w:rPr>
      <w:b/>
      <w:sz w:val="28"/>
      <w:lang w:eastAsia="ar-SA"/>
    </w:rPr>
  </w:style>
  <w:style w:type="character" w:styleId="Strong">
    <w:name w:val="Strong"/>
    <w:uiPriority w:val="22"/>
    <w:qFormat/>
    <w:rsid w:val="00452946"/>
    <w:rPr>
      <w:b/>
      <w:bCs/>
    </w:rPr>
  </w:style>
  <w:style w:type="character" w:styleId="PidipaginaCarattere" w:customStyle="1">
    <w:name w:val="Piè di pagina Carattere"/>
    <w:link w:val="Pidipagina"/>
    <w:uiPriority w:val="99"/>
    <w:qFormat/>
    <w:rsid w:val="00b343d2"/>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eastAsia="Times New Roman" w:cs="Times New Roman"/>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eastAsia="Times New Roman" w:cs="Times New Roman"/>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Caratterenotaapidipagina">
    <w:name w:val="Carattere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enotadichiusura">
    <w:name w:val="Carattere nota di chiusura"/>
    <w:qFormat/>
    <w:rPr/>
  </w:style>
  <w:style w:type="character" w:styleId="ListLabel17">
    <w:name w:val="ListLabel 17"/>
    <w:qFormat/>
    <w:rPr>
      <w:rFonts w:cs="Times New Roman"/>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cs="Symbol"/>
    </w:rPr>
  </w:style>
  <w:style w:type="character" w:styleId="ListLabel24">
    <w:name w:val="ListLabel 24"/>
    <w:qFormat/>
    <w:rPr>
      <w:rFonts w:cs="Courier New"/>
    </w:rPr>
  </w:style>
  <w:style w:type="character" w:styleId="ListLabel25">
    <w:name w:val="ListLabel 25"/>
    <w:qFormat/>
    <w:rPr>
      <w:rFonts w:cs="Wingdings"/>
    </w:rPr>
  </w:style>
  <w:style w:type="paragraph" w:styleId="Titolo">
    <w:name w:val="Titolo"/>
    <w:basedOn w:val="Normal"/>
    <w:next w:val="Corpodeltesto"/>
    <w:qFormat/>
    <w:pPr>
      <w:keepNext/>
      <w:spacing w:before="240" w:after="120"/>
    </w:pPr>
    <w:rPr>
      <w:rFonts w:ascii="Liberation Sans" w:hAnsi="Liberation Sans" w:eastAsia="Microsoft YaHei" w:cs="Arial"/>
      <w:sz w:val="28"/>
      <w:szCs w:val="28"/>
    </w:rPr>
  </w:style>
  <w:style w:type="paragraph" w:styleId="Corpodeltesto" w:customStyle="1">
    <w:name w:val="Body Text"/>
    <w:basedOn w:val="Normal"/>
    <w:pPr/>
    <w:rPr>
      <w:rFonts w:ascii="Arial" w:hAnsi="Arial"/>
      <w:sz w:val="24"/>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3">
    <w:name w:val="Body Text 3"/>
    <w:basedOn w:val="Normal"/>
    <w:qFormat/>
    <w:pPr>
      <w:widowControl w:val="false"/>
    </w:pPr>
    <w:rPr>
      <w:b/>
      <w:sz w:val="22"/>
    </w:rPr>
  </w:style>
  <w:style w:type="paragraph" w:styleId="Intestazione">
    <w:name w:val="Header"/>
    <w:basedOn w:val="Normal"/>
    <w:rsid w:val="00436617"/>
    <w:pPr>
      <w:tabs>
        <w:tab w:val="center" w:pos="4819" w:leader="none"/>
        <w:tab w:val="right" w:pos="9638" w:leader="none"/>
      </w:tabs>
    </w:pPr>
    <w:rPr/>
  </w:style>
  <w:style w:type="paragraph" w:styleId="Pidipagina">
    <w:name w:val="Footer"/>
    <w:basedOn w:val="Normal"/>
    <w:link w:val="PidipaginaCarattere"/>
    <w:uiPriority w:val="99"/>
    <w:rsid w:val="00436617"/>
    <w:pPr>
      <w:tabs>
        <w:tab w:val="center" w:pos="4819" w:leader="none"/>
        <w:tab w:val="right" w:pos="9638" w:leader="none"/>
      </w:tabs>
    </w:pPr>
    <w:rPr/>
  </w:style>
  <w:style w:type="paragraph" w:styleId="ListParagraph">
    <w:name w:val="List Paragraph"/>
    <w:basedOn w:val="Normal"/>
    <w:qFormat/>
    <w:rsid w:val="004c2571"/>
    <w:pPr>
      <w:spacing w:lineRule="auto" w:line="276" w:before="0" w:after="200"/>
      <w:ind w:left="708" w:hanging="0"/>
    </w:pPr>
    <w:rPr>
      <w:rFonts w:ascii="Calibri" w:hAnsi="Calibri" w:eastAsia="Calibri"/>
      <w:sz w:val="22"/>
      <w:szCs w:val="22"/>
      <w:lang w:eastAsia="en-US"/>
    </w:rPr>
  </w:style>
  <w:style w:type="paragraph" w:styleId="Titoloprincipale">
    <w:name w:val="Title"/>
    <w:basedOn w:val="Normal"/>
    <w:next w:val="Sottotitolo"/>
    <w:link w:val="TitoloCarattere"/>
    <w:qFormat/>
    <w:rsid w:val="00f66b09"/>
    <w:pPr>
      <w:suppressAutoHyphens w:val="true"/>
      <w:jc w:val="center"/>
    </w:pPr>
    <w:rPr>
      <w:b/>
      <w:sz w:val="28"/>
      <w:lang w:val="x-none" w:eastAsia="ar-SA"/>
    </w:rPr>
  </w:style>
  <w:style w:type="paragraph" w:styleId="Sottotitolo">
    <w:name w:val="Subtitle"/>
    <w:basedOn w:val="Normal"/>
    <w:link w:val="SottotitoloCarattere"/>
    <w:qFormat/>
    <w:rsid w:val="00f66b09"/>
    <w:pPr>
      <w:keepNext/>
      <w:suppressAutoHyphens w:val="true"/>
      <w:spacing w:before="240" w:after="120"/>
      <w:jc w:val="center"/>
    </w:pPr>
    <w:rPr>
      <w:rFonts w:ascii="Arial" w:hAnsi="Arial" w:eastAsia="MS Mincho" w:cs="Tahoma"/>
      <w:i/>
      <w:iCs/>
      <w:sz w:val="28"/>
      <w:szCs w:val="28"/>
      <w:lang w:eastAsia="ar-SA"/>
    </w:rPr>
  </w:style>
  <w:style w:type="paragraph" w:styleId="Footnotetext">
    <w:name w:val="footnote text"/>
    <w:basedOn w:val="Normal"/>
    <w:semiHidden/>
    <w:qFormat/>
    <w:rsid w:val="007d7595"/>
    <w:pPr/>
    <w:rPr/>
  </w:style>
  <w:style w:type="paragraph" w:styleId="Stile" w:customStyle="1">
    <w:name w:val="Stile"/>
    <w:uiPriority w:val="99"/>
    <w:qFormat/>
    <w:rsid w:val="000f282a"/>
    <w:pPr>
      <w:widowControl w:val="false"/>
      <w:bidi w:val="0"/>
      <w:jc w:val="left"/>
    </w:pPr>
    <w:rPr>
      <w:rFonts w:ascii="Times New Roman" w:hAnsi="Times New Roman" w:eastAsia="Calibri" w:cs="Times New Roman"/>
      <w:color w:val="00000A"/>
      <w:sz w:val="24"/>
      <w:szCs w:val="24"/>
      <w:lang w:val="it-IT" w:eastAsia="it-IT" w:bidi="ar-SA"/>
    </w:rPr>
  </w:style>
  <w:style w:type="paragraph" w:styleId="Standard" w:customStyle="1">
    <w:name w:val="Standard"/>
    <w:qFormat/>
    <w:rsid w:val="00024e60"/>
    <w:pPr>
      <w:widowControl/>
      <w:suppressAutoHyphens w:val="true"/>
      <w:bidi w:val="0"/>
      <w:jc w:val="left"/>
      <w:textAlignment w:val="baseline"/>
    </w:pPr>
    <w:rPr>
      <w:rFonts w:ascii="Times New Roman" w:hAnsi="Times New Roman" w:eastAsia="Times New Roman" w:cs="Times New Roman"/>
      <w:color w:val="00000A"/>
      <w:sz w:val="24"/>
      <w:szCs w:val="24"/>
      <w:lang w:val="it-IT" w:eastAsia="it-IT" w:bidi="ar-SA"/>
    </w:rPr>
  </w:style>
  <w:style w:type="paragraph" w:styleId="Notaapidipagina">
    <w:name w:val="Footnote Text"/>
    <w:basedOn w:val="Normal"/>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FE84F-C9A1-48EC-82B1-F0BAF479E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Application>LibreOffice/5.1.4.2$Windows_x86 LibreOffice_project/f99d75f39f1c57ebdd7ffc5f42867c12031db97a</Application>
  <Pages>4</Pages>
  <Words>2567</Words>
  <Characters>15877</Characters>
  <CharactersWithSpaces>18421</CharactersWithSpaces>
  <Paragraphs>46</Paragraphs>
  <Company>Comune di Codogno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2018-11-07T10:27:00Z</dcterms:created>
  <dc:creator>Comune di Codogno</dc:creator>
  <dc:description/>
  <dc:language>it-IT</dc:language>
  <cp:lastModifiedBy/>
  <cp:lastPrinted>2016-12-14T14:52:00Z</cp:lastPrinted>
  <dcterms:modified xsi:type="dcterms:W3CDTF">2018-11-08T14:31:43Z</dcterms:modified>
  <cp:revision>7</cp:revision>
  <dc:subject/>
  <dc:title>ALLEGATO 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Comune di Codogno</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