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jc w:val="right"/>
        <w:rPr>
          <w:sz w:val="25"/>
          <w:szCs w:val="25"/>
        </w:rPr>
      </w:pPr>
      <w:r>
        <w:rPr>
          <w:sz w:val="25"/>
          <w:szCs w:val="25"/>
        </w:rPr>
        <w:t xml:space="preserve"> </w:t>
      </w:r>
    </w:p>
    <w:p>
      <w:pPr>
        <w:pStyle w:val="Normal"/>
        <w:spacing w:before="0" w:after="0"/>
        <w:jc w:val="right"/>
        <w:rPr>
          <w:sz w:val="25"/>
          <w:szCs w:val="25"/>
        </w:rPr>
      </w:pPr>
      <w:r>
        <w:rPr>
          <w:sz w:val="25"/>
          <w:szCs w:val="25"/>
        </w:rPr>
      </w:r>
    </w:p>
    <w:p>
      <w:pPr>
        <w:pStyle w:val="Normal"/>
        <w:spacing w:before="0" w:after="0"/>
        <w:jc w:val="right"/>
        <w:rPr>
          <w:b/>
          <w:b/>
          <w:sz w:val="25"/>
          <w:szCs w:val="25"/>
        </w:rPr>
      </w:pPr>
      <w:r>
        <w:rPr>
          <w:b/>
          <w:sz w:val="25"/>
          <w:szCs w:val="25"/>
        </w:rPr>
        <w:t>AL DIRIGENTE SCOLASTICO</w:t>
      </w:r>
    </w:p>
    <w:p>
      <w:pPr>
        <w:pStyle w:val="Normal"/>
        <w:spacing w:before="0" w:after="0"/>
        <w:jc w:val="right"/>
        <w:rPr>
          <w:b/>
          <w:b/>
          <w:sz w:val="25"/>
          <w:szCs w:val="25"/>
        </w:rPr>
      </w:pPr>
      <w:r>
        <w:rPr>
          <w:b/>
          <w:sz w:val="25"/>
          <w:szCs w:val="25"/>
        </w:rPr>
      </w:r>
    </w:p>
    <w:p>
      <w:pPr>
        <w:pStyle w:val="Normal"/>
        <w:spacing w:before="0" w:after="0"/>
        <w:jc w:val="right"/>
        <w:rPr>
          <w:b/>
          <w:b/>
          <w:sz w:val="25"/>
          <w:szCs w:val="25"/>
        </w:rPr>
      </w:pPr>
      <w:r>
        <w:rPr>
          <w:b/>
          <w:sz w:val="25"/>
          <w:szCs w:val="25"/>
        </w:rPr>
      </w:r>
    </w:p>
    <w:p>
      <w:pPr>
        <w:pStyle w:val="Normal"/>
        <w:spacing w:before="0" w:after="0"/>
        <w:jc w:val="right"/>
        <w:rPr>
          <w:b/>
          <w:b/>
          <w:sz w:val="25"/>
          <w:szCs w:val="25"/>
        </w:rPr>
      </w:pPr>
      <w:r>
        <w:rPr>
          <w:b/>
          <w:sz w:val="25"/>
          <w:szCs w:val="25"/>
        </w:rPr>
      </w:r>
    </w:p>
    <w:p>
      <w:pPr>
        <w:pStyle w:val="Normal"/>
        <w:spacing w:before="0" w:after="0"/>
        <w:jc w:val="right"/>
        <w:rPr>
          <w:sz w:val="25"/>
          <w:szCs w:val="25"/>
        </w:rPr>
      </w:pPr>
      <w:r>
        <w:rPr>
          <w:sz w:val="25"/>
          <w:szCs w:val="25"/>
        </w:rPr>
      </w:r>
    </w:p>
    <w:p>
      <w:pPr>
        <w:pStyle w:val="Normal"/>
        <w:spacing w:before="0" w:after="0"/>
        <w:jc w:val="right"/>
        <w:rPr>
          <w:sz w:val="25"/>
          <w:szCs w:val="25"/>
        </w:rPr>
      </w:pPr>
      <w:r>
        <w:rPr>
          <w:sz w:val="25"/>
          <w:szCs w:val="25"/>
        </w:rPr>
      </w:r>
    </w:p>
    <w:p>
      <w:pPr>
        <w:pStyle w:val="Normal"/>
        <w:spacing w:before="0" w:after="0"/>
        <w:jc w:val="right"/>
        <w:rPr>
          <w:sz w:val="25"/>
          <w:szCs w:val="25"/>
        </w:rPr>
      </w:pPr>
      <w:r>
        <w:rPr>
          <w:sz w:val="25"/>
          <w:szCs w:val="25"/>
        </w:rPr>
      </w:r>
    </w:p>
    <w:p>
      <w:pPr>
        <w:pStyle w:val="Normal"/>
        <w:pBdr>
          <w:top w:val="single" w:sz="4" w:space="1" w:color="000001"/>
          <w:left w:val="single" w:sz="4" w:space="4" w:color="000001"/>
          <w:bottom w:val="single" w:sz="4" w:space="1" w:color="000001"/>
          <w:right w:val="single" w:sz="4" w:space="4" w:color="000001"/>
        </w:pBdr>
        <w:spacing w:lineRule="auto" w:line="240" w:before="0" w:after="0"/>
        <w:ind w:left="567" w:right="706" w:hanging="0"/>
        <w:jc w:val="center"/>
        <w:rPr>
          <w:rFonts w:ascii="Times" w:hAnsi="Times" w:eastAsia="Times" w:cs="Times"/>
          <w:b/>
          <w:b/>
          <w:sz w:val="36"/>
          <w:szCs w:val="36"/>
        </w:rPr>
      </w:pPr>
      <w:r>
        <w:rPr>
          <w:rFonts w:eastAsia="Times New Roman" w:cs="Times New Roman" w:ascii="Times New Roman" w:hAnsi="Times New Roman"/>
          <w:b/>
          <w:sz w:val="36"/>
          <w:szCs w:val="36"/>
        </w:rPr>
        <w:t xml:space="preserve"> </w:t>
      </w:r>
      <w:r>
        <w:rPr>
          <w:rFonts w:eastAsia="Times New Roman" w:cs="Times New Roman" w:ascii="Times New Roman" w:hAnsi="Times New Roman"/>
          <w:b/>
          <w:sz w:val="36"/>
          <w:szCs w:val="36"/>
        </w:rPr>
        <w:t xml:space="preserve">DICHIARAZIONI PER  MANIFESTAZIONE DI INTERESSE </w:t>
      </w:r>
    </w:p>
    <w:p>
      <w:pPr>
        <w:pStyle w:val="Normal"/>
        <w:spacing w:before="0" w:after="0"/>
        <w:ind w:left="720" w:hanging="0"/>
        <w:jc w:val="center"/>
        <w:rPr>
          <w:rFonts w:ascii="Times" w:hAnsi="Times" w:eastAsia="Times" w:cs="Times"/>
          <w:b/>
          <w:b/>
          <w:sz w:val="24"/>
          <w:szCs w:val="24"/>
        </w:rPr>
      </w:pPr>
      <w:r>
        <w:rPr>
          <w:rFonts w:eastAsia="Times" w:cs="Times" w:ascii="Times" w:hAnsi="Times"/>
          <w:sz w:val="24"/>
          <w:szCs w:val="24"/>
        </w:rPr>
        <w:t xml:space="preserve"> </w:t>
      </w:r>
      <w:r>
        <w:rPr>
          <w:rFonts w:eastAsia="Times" w:cs="Times" w:ascii="Times" w:hAnsi="Times"/>
          <w:sz w:val="24"/>
          <w:szCs w:val="24"/>
        </w:rPr>
        <w:t>AVVISO PROT. 7465 del 30 ottobre 2018</w:t>
      </w:r>
    </w:p>
    <w:p>
      <w:pPr>
        <w:pStyle w:val="Normal"/>
        <w:spacing w:before="0" w:after="0"/>
        <w:jc w:val="center"/>
        <w:rPr>
          <w:rFonts w:ascii="Times" w:hAnsi="Times" w:eastAsia="Times" w:cs="Times"/>
          <w:b/>
          <w:b/>
          <w:sz w:val="24"/>
          <w:szCs w:val="24"/>
        </w:rPr>
      </w:pPr>
      <w:r>
        <w:rPr>
          <w:rFonts w:eastAsia="Times" w:cs="Times" w:ascii="Times" w:hAnsi="Times"/>
          <w:b/>
          <w:sz w:val="24"/>
          <w:szCs w:val="24"/>
        </w:rPr>
      </w:r>
    </w:p>
    <w:p>
      <w:pPr>
        <w:pStyle w:val="Normal"/>
        <w:spacing w:before="0" w:after="0"/>
        <w:jc w:val="center"/>
        <w:rPr>
          <w:rFonts w:ascii="Times" w:hAnsi="Times" w:eastAsia="Times" w:cs="Times"/>
          <w:b/>
          <w:b/>
          <w:sz w:val="24"/>
          <w:szCs w:val="24"/>
        </w:rPr>
      </w:pPr>
      <w:r>
        <w:rPr>
          <w:rFonts w:eastAsia="Times" w:cs="Times" w:ascii="Times" w:hAnsi="Times"/>
          <w:b/>
          <w:sz w:val="24"/>
          <w:szCs w:val="24"/>
        </w:rPr>
      </w:r>
    </w:p>
    <w:p>
      <w:pPr>
        <w:pStyle w:val="Normal"/>
        <w:spacing w:before="0" w:after="0"/>
        <w:jc w:val="center"/>
        <w:rPr>
          <w:rFonts w:ascii="Times" w:hAnsi="Times" w:eastAsia="Times" w:cs="Times"/>
          <w:b/>
          <w:b/>
          <w:sz w:val="24"/>
          <w:szCs w:val="24"/>
        </w:rPr>
      </w:pPr>
      <w:r>
        <w:rPr>
          <w:rFonts w:eastAsia="Times" w:cs="Times" w:ascii="Times" w:hAnsi="Times"/>
          <w:b/>
          <w:sz w:val="24"/>
          <w:szCs w:val="24"/>
        </w:rPr>
        <w:t>IL DIRIGENTE SCOLASTICO</w:t>
      </w:r>
    </w:p>
    <w:p>
      <w:pPr>
        <w:pStyle w:val="Normal"/>
        <w:spacing w:before="0" w:after="0"/>
        <w:jc w:val="center"/>
        <w:rPr>
          <w:rFonts w:ascii="Times" w:hAnsi="Times" w:eastAsia="Times" w:cs="Times"/>
          <w:sz w:val="24"/>
          <w:szCs w:val="24"/>
        </w:rPr>
      </w:pPr>
      <w:r>
        <w:rPr>
          <w:rFonts w:eastAsia="Times" w:cs="Times" w:ascii="Times" w:hAnsi="Times"/>
          <w:sz w:val="24"/>
          <w:szCs w:val="24"/>
        </w:rPr>
      </w:r>
    </w:p>
    <w:p>
      <w:pPr>
        <w:pStyle w:val="Normal"/>
        <w:spacing w:before="0" w:after="0"/>
        <w:jc w:val="center"/>
        <w:rPr>
          <w:rFonts w:ascii="Times" w:hAnsi="Times" w:eastAsia="Times" w:cs="Times"/>
          <w:sz w:val="24"/>
          <w:szCs w:val="24"/>
        </w:rPr>
      </w:pPr>
      <w:r>
        <w:rPr>
          <w:rFonts w:eastAsia="Times" w:cs="Times" w:ascii="Times" w:hAnsi="Times"/>
          <w:sz w:val="24"/>
          <w:szCs w:val="24"/>
        </w:rPr>
      </w:r>
    </w:p>
    <w:p>
      <w:pPr>
        <w:pStyle w:val="Normal"/>
        <w:spacing w:lineRule="auto" w:line="240" w:before="0" w:after="0"/>
        <w:ind w:left="720" w:hanging="0"/>
        <w:rPr>
          <w:rFonts w:ascii="Times" w:hAnsi="Times" w:eastAsia="Times" w:cs="Times"/>
          <w:sz w:val="24"/>
          <w:szCs w:val="24"/>
        </w:rPr>
      </w:pPr>
      <w:r>
        <w:rPr>
          <w:rFonts w:eastAsia="Times" w:cs="Times" w:ascii="Times" w:hAnsi="Times"/>
          <w:sz w:val="24"/>
          <w:szCs w:val="24"/>
        </w:rPr>
        <w:t>;</w:t>
      </w:r>
    </w:p>
    <w:p>
      <w:pPr>
        <w:pStyle w:val="Normal"/>
        <w:widowControl w:val="false"/>
        <w:spacing w:lineRule="auto" w:line="240" w:before="0" w:after="100"/>
        <w:ind w:firstLine="153"/>
        <w:rPr>
          <w:rFonts w:ascii="Times" w:hAnsi="Times" w:eastAsia="Times" w:cs="Times"/>
          <w:sz w:val="24"/>
          <w:szCs w:val="24"/>
        </w:rPr>
      </w:pPr>
      <w:r>
        <w:rPr>
          <w:rFonts w:eastAsia="Times" w:cs="Times" w:ascii="Times" w:hAnsi="Times"/>
          <w:sz w:val="24"/>
          <w:szCs w:val="24"/>
        </w:rPr>
      </w:r>
    </w:p>
    <w:p>
      <w:pPr>
        <w:pStyle w:val="Normal"/>
        <w:spacing w:before="0" w:after="0"/>
        <w:jc w:val="left"/>
        <w:rPr>
          <w:b/>
          <w:b/>
        </w:rPr>
      </w:pPr>
      <w:r>
        <w:rPr>
          <w:rFonts w:eastAsia="Times" w:cs="Times" w:ascii="Times" w:hAnsi="Times"/>
          <w:b/>
          <w:sz w:val="24"/>
          <w:szCs w:val="24"/>
        </w:rPr>
        <w:t>IL sottoscritto ………………………………………………………..in qualità di legale rappresentante dell’ Agenzia  ………………………………………………………...c.f/p.i…………………………………………………………….</w:t>
      </w:r>
    </w:p>
    <w:p>
      <w:pPr>
        <w:pStyle w:val="Normal"/>
        <w:spacing w:before="0" w:after="0"/>
        <w:rPr/>
      </w:pPr>
      <w:r>
        <w:rPr/>
      </w:r>
    </w:p>
    <w:p>
      <w:pPr>
        <w:pStyle w:val="Normal"/>
        <w:spacing w:before="0" w:after="0"/>
        <w:jc w:val="center"/>
        <w:rPr>
          <w:b/>
          <w:b/>
        </w:rPr>
      </w:pPr>
      <w:r>
        <w:rPr>
          <w:b/>
        </w:rPr>
        <w:t>DICHIARA L’INTERESSE A PARTECIPARE alla</w:t>
      </w:r>
    </w:p>
    <w:p>
      <w:pPr>
        <w:pStyle w:val="Normal"/>
        <w:spacing w:before="0" w:after="0"/>
        <w:jc w:val="center"/>
        <w:rPr>
          <w:b/>
          <w:b/>
        </w:rPr>
      </w:pPr>
      <w:r>
        <w:rPr>
          <w:b/>
        </w:rPr>
      </w:r>
    </w:p>
    <w:tbl>
      <w:tblPr>
        <w:tblStyle w:val="Table1"/>
        <w:tblW w:w="14550" w:type="dxa"/>
        <w:jc w:val="left"/>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400"/>
      </w:tblPr>
      <w:tblGrid>
        <w:gridCol w:w="315"/>
        <w:gridCol w:w="14234"/>
      </w:tblGrid>
      <w:tr>
        <w:trPr/>
        <w:tc>
          <w:tcPr>
            <w:tcW w:w="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9DAF8" w:val="clear"/>
            <w:tcMar>
              <w:left w:w="80" w:type="dxa"/>
            </w:tcMar>
          </w:tcPr>
          <w:p>
            <w:pPr>
              <w:pStyle w:val="Normal"/>
              <w:spacing w:lineRule="auto" w:line="240" w:before="0" w:after="0"/>
              <w:rPr>
                <w:b/>
                <w:b/>
              </w:rPr>
            </w:pPr>
            <w:r>
              <w:rPr>
                <w:b/>
              </w:rPr>
            </w:r>
          </w:p>
        </w:tc>
        <w:tc>
          <w:tcPr>
            <w:tcW w:w="142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t>procedura negoziata (art. 36 comma 2 del D.Lgs. n. 50 del 19/04/2016 e SS.MM.11.) al fine di individuare un'agenzia di formazione che offra percorsi di stage linguistici in Regno Unito/ Irlanda comprensivi di ASL</w:t>
            </w:r>
          </w:p>
          <w:p>
            <w:pPr>
              <w:pStyle w:val="Normal"/>
              <w:spacing w:lineRule="auto" w:line="240" w:before="0" w:after="0"/>
              <w:rPr/>
            </w:pPr>
            <w:r>
              <w:rPr/>
            </w:r>
          </w:p>
          <w:p>
            <w:pPr>
              <w:pStyle w:val="Normal"/>
              <w:spacing w:lineRule="auto" w:line="240" w:before="0" w:after="0"/>
              <w:rPr/>
            </w:pPr>
            <w:r>
              <w:rPr/>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b/>
          <w:b/>
        </w:rPr>
      </w:pPr>
      <w:r>
        <w:rPr>
          <w:b/>
        </w:rPr>
      </w:r>
    </w:p>
    <w:p>
      <w:pPr>
        <w:pStyle w:val="Normal"/>
        <w:spacing w:before="0" w:after="0"/>
        <w:jc w:val="center"/>
        <w:rPr>
          <w:b/>
          <w:b/>
        </w:rPr>
      </w:pPr>
      <w:r>
        <w:rPr>
          <w:b/>
        </w:rPr>
      </w:r>
    </w:p>
    <w:p>
      <w:pPr>
        <w:pStyle w:val="Normal"/>
        <w:spacing w:before="0" w:after="0"/>
        <w:jc w:val="center"/>
        <w:rPr>
          <w:b/>
          <w:b/>
        </w:rPr>
      </w:pPr>
      <w:r>
        <w:rPr>
          <w:b/>
        </w:rPr>
        <w:t xml:space="preserve">ATTESTA DI </w:t>
      </w:r>
    </w:p>
    <w:p>
      <w:pPr>
        <w:pStyle w:val="Normal"/>
        <w:spacing w:before="0" w:after="0"/>
        <w:rPr/>
      </w:pPr>
      <w:r>
        <w:rPr/>
      </w:r>
    </w:p>
    <w:tbl>
      <w:tblPr>
        <w:tblStyle w:val="Table2"/>
        <w:tblW w:w="14505" w:type="dxa"/>
        <w:jc w:val="left"/>
        <w:tblInd w:w="11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400"/>
      </w:tblPr>
      <w:tblGrid>
        <w:gridCol w:w="3269"/>
        <w:gridCol w:w="11235"/>
      </w:tblGrid>
      <w:tr>
        <w:trPr/>
        <w:tc>
          <w:tcPr>
            <w:tcW w:w="3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spacing w:lineRule="auto" w:line="240" w:before="0" w:after="0"/>
              <w:rPr>
                <w:b/>
                <w:b/>
              </w:rPr>
            </w:pPr>
            <w:r>
              <w:rPr>
                <w:b/>
              </w:rPr>
              <w:t>Requisiti</w:t>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t>Esperienza</w:t>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t>Assistenza durante il viaggio e il soggiorno</w:t>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t>Assicurazione</w:t>
            </w:r>
          </w:p>
        </w:tc>
        <w:tc>
          <w:tcPr>
            <w:tcW w:w="112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b/>
              </w:rPr>
              <w:t xml:space="preserve">POSSEDERE  </w:t>
            </w:r>
            <w:r>
              <w:rPr/>
              <w:t xml:space="preserve">esperienza nell’organizzazione dei viaggi studio, per almeno dieci anni consecutivi, con partecipazione di gruppi di almeno 50 persone per singolo viaggio, in rapporto ad istituzioni scolastiche. </w:t>
            </w:r>
          </w:p>
          <w:p>
            <w:pPr>
              <w:pStyle w:val="Normal"/>
              <w:spacing w:lineRule="auto" w:line="240" w:before="0" w:after="0"/>
              <w:rPr/>
            </w:pPr>
            <w:r>
              <w:rPr/>
            </w:r>
          </w:p>
          <w:p>
            <w:pPr>
              <w:pStyle w:val="Normal"/>
              <w:spacing w:lineRule="auto" w:line="240" w:before="0" w:after="0"/>
              <w:rPr/>
            </w:pPr>
            <w:r>
              <w:rPr/>
              <w:t>Durante tutta la durata del viaggio - da Milano alla destinazione prescelta e viceverse</w:t>
            </w:r>
          </w:p>
          <w:p>
            <w:pPr>
              <w:pStyle w:val="Normal"/>
              <w:spacing w:lineRule="auto" w:line="240" w:before="0" w:after="0"/>
              <w:rPr/>
            </w:pPr>
            <w:r>
              <w:rPr/>
              <w:t xml:space="preserve">del soggiorno </w:t>
            </w:r>
            <w:r>
              <w:rPr>
                <w:b/>
              </w:rPr>
              <w:t>GARANTISCE</w:t>
            </w:r>
            <w:r>
              <w:rPr/>
              <w:t xml:space="preserve"> la presenza di personale specializzato, che provveda al disbrigo di ogni formalità e sia pronto ad intervenire per qualsiasi emergenza.</w:t>
            </w:r>
          </w:p>
          <w:p>
            <w:pPr>
              <w:pStyle w:val="Normal"/>
              <w:spacing w:lineRule="auto" w:line="240" w:before="0" w:after="0"/>
              <w:rPr/>
            </w:pPr>
            <w:r>
              <w:rPr/>
            </w:r>
          </w:p>
          <w:p>
            <w:pPr>
              <w:pStyle w:val="Normal"/>
              <w:spacing w:lineRule="auto" w:line="240" w:before="0" w:after="0"/>
              <w:rPr/>
            </w:pPr>
            <w:r>
              <w:rPr>
                <w:b/>
              </w:rPr>
              <w:t>ASSICURA</w:t>
            </w:r>
            <w:r>
              <w:rPr/>
              <w:t xml:space="preserve">, la presenza continua e costante durante tutto il viaggio/soggiorno di propri collaboratori esperti e preparati, scelti per la loro disponibilità a vivere in mezzo ai ragazzi e ad aiutarli a risolvere ogni loro problema, che, di concerto con i due docenti accompagnatori (tutor), controllino e assistano il gruppo dal momento dell’arrivo fino al rientro </w:t>
            </w:r>
          </w:p>
          <w:p>
            <w:pPr>
              <w:pStyle w:val="Normal"/>
              <w:spacing w:lineRule="auto" w:line="240" w:before="0" w:after="0"/>
              <w:rPr/>
            </w:pPr>
            <w:r>
              <w:rPr/>
              <w:t xml:space="preserve">  </w:t>
            </w:r>
          </w:p>
          <w:p>
            <w:pPr>
              <w:pStyle w:val="Normal"/>
              <w:spacing w:lineRule="auto" w:line="240" w:before="0" w:after="0"/>
              <w:rPr>
                <w:b/>
                <w:b/>
              </w:rPr>
            </w:pPr>
            <w:r>
              <w:rPr>
                <w:b/>
              </w:rPr>
              <w:t>OFFRE</w:t>
            </w:r>
            <w:r>
              <w:rPr/>
              <w:t xml:space="preserve"> </w:t>
            </w:r>
            <w:r>
              <w:rPr>
                <w:b/>
              </w:rPr>
              <w:t xml:space="preserve"> L’ assicurazione per assistenza medica e viaggio per l’intero periodo.</w:t>
            </w:r>
          </w:p>
          <w:p>
            <w:pPr>
              <w:pStyle w:val="Normal"/>
              <w:spacing w:lineRule="auto" w:line="240" w:before="0" w:after="0"/>
              <w:rPr/>
            </w:pPr>
            <w:r>
              <w:rPr/>
              <w:t>L’Agenzia/Tour Operator offerente, congiuntamente all’offerta relativa ai servizi di cui sopra e alla restante documentazione richiesta dovrà, fornirà dettagliate informazioni circa la copertura assicurativa offerta, con particolare riguardo alle caratteristiche delle assicurazioni relative a: Responsabilità civile professionale, che dovrà corrispondere alle prescrizioni e agli obblighi assicurativi di cui al d.lgs. 206 del 6 settembre 2005 (Codice del Consumo), al d.lgs 111 del 17.03.1995 a ratifica della direttiva CEE 90/314 del 13.06.1990 concernente viaggi, vacanze e circuiti “tutto compreso” nonché a quelli dettati dalla Convenzione Internazionale relativa al contratto di viaggio firmata a Bruxelles il 23.04.1970 ratificata con legge n. 1084 del 27.12.1977.</w:t>
            </w:r>
          </w:p>
          <w:p>
            <w:pPr>
              <w:pStyle w:val="Normal"/>
              <w:spacing w:lineRule="auto" w:line="240" w:before="0" w:after="0"/>
              <w:rPr/>
            </w:pPr>
            <w:r>
              <w:rPr/>
              <w:t>Assicurazione multi rischi (spese mediche, rientro sanitario, viaggio di un familiare, perdita o deterioramento del bagaglio, etc).</w:t>
            </w:r>
          </w:p>
          <w:p>
            <w:pPr>
              <w:pStyle w:val="Normal"/>
              <w:spacing w:lineRule="auto" w:line="240" w:before="0" w:after="0"/>
              <w:rPr/>
            </w:pPr>
            <w:r>
              <w:rPr/>
            </w:r>
          </w:p>
          <w:p>
            <w:pPr>
              <w:pStyle w:val="Normal"/>
              <w:spacing w:lineRule="auto" w:line="240" w:before="0" w:after="0"/>
              <w:rPr/>
            </w:pPr>
            <w:r>
              <w:rPr>
                <w:b/>
              </w:rPr>
              <w:t>GARANTISCE</w:t>
            </w:r>
            <w:r>
              <w:rPr/>
              <w:t xml:space="preserve"> che i presupposti e le modalità di intervento del fondo di garanzia di cui all’art. 21 del D.Lgs. n. 111 del 17 marzo 1995 saranno conformi alla disposizioni previste dagli artt. 1 e 5 del Decreto Ministero Industria Commercio e Artigianato del 23 Luglio 1999, n. 349.</w:t>
            </w:r>
          </w:p>
          <w:p>
            <w:pPr>
              <w:pStyle w:val="Normal"/>
              <w:spacing w:lineRule="auto" w:line="240" w:before="0" w:after="0"/>
              <w:rPr/>
            </w:pPr>
            <w:r>
              <w:rPr/>
            </w:r>
          </w:p>
        </w:tc>
      </w:tr>
      <w:tr>
        <w:trPr/>
        <w:tc>
          <w:tcPr>
            <w:tcW w:w="3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spacing w:lineRule="auto" w:line="240" w:before="0" w:after="0"/>
              <w:rPr>
                <w:b/>
                <w:b/>
              </w:rPr>
            </w:pPr>
            <w:r>
              <w:rPr>
                <w:b/>
              </w:rPr>
              <w:t>Subappalto</w:t>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t>SELEZIONARE</w:t>
            </w:r>
          </w:p>
        </w:tc>
        <w:tc>
          <w:tcPr>
            <w:tcW w:w="112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b/>
              </w:rPr>
              <w:t>DICHIARA CHE</w:t>
            </w:r>
            <w:r>
              <w:rPr/>
              <w:t xml:space="preserve"> secondo Ex art 106 c 3 lettera c-bis DLgs 50 / 2016, non si configurano come attivita' affidate in subappalto, le prestazioni rese in favore dei soggetti affidatari in forza di contratti continuativi di cooperazione, servizio e/o fornitura sottoscritti in epoca anteriore alla indizione della procedura finalizzata alla aggiudicazione dell'appalto. </w:t>
            </w:r>
          </w:p>
          <w:p>
            <w:pPr>
              <w:pStyle w:val="Normal"/>
              <w:spacing w:lineRule="auto" w:line="240" w:before="0" w:after="0"/>
              <w:rPr/>
            </w:pPr>
            <w:r>
              <w:rPr/>
            </w:r>
          </w:p>
          <w:p>
            <w:pPr>
              <w:pStyle w:val="Normal"/>
              <w:spacing w:lineRule="auto" w:line="240" w:before="0" w:after="0"/>
              <w:rPr/>
            </w:pPr>
            <w:r>
              <w:rPr>
                <w:u w:val="single"/>
              </w:rPr>
              <w:t>OPPURE</w:t>
            </w:r>
            <w:r>
              <w:rPr/>
              <w:t xml:space="preserve"> In sede di partecipazione alla gara, a fronte della lettera di invito, dovrà dunque essere allegato il contratto sussistente tra operatore e soggett]. I relativi contratti sono depositati alla stazione appaltante prima o contestualmente alla sottoscrizione del contratto di appalto.</w:t>
            </w:r>
          </w:p>
          <w:p>
            <w:pPr>
              <w:pStyle w:val="Normal"/>
              <w:spacing w:lineRule="auto" w:line="240" w:before="0" w:after="0"/>
              <w:rPr/>
            </w:pPr>
            <w:r>
              <w:rPr/>
            </w:r>
          </w:p>
        </w:tc>
      </w:tr>
      <w:tr>
        <w:trPr/>
        <w:tc>
          <w:tcPr>
            <w:tcW w:w="32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spacing w:lineRule="auto" w:line="240" w:before="0" w:after="0"/>
              <w:rPr>
                <w:b/>
                <w:b/>
              </w:rPr>
            </w:pPr>
            <w:r>
              <w:rPr>
                <w:b/>
              </w:rPr>
              <w:t xml:space="preserve">Motivi di esclusione </w:t>
            </w:r>
          </w:p>
        </w:tc>
        <w:tc>
          <w:tcPr>
            <w:tcW w:w="112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b/>
              </w:rPr>
              <w:t>DICHIARA l’</w:t>
            </w:r>
            <w:r>
              <w:rPr/>
              <w:t xml:space="preserve"> Inesistenza di condanne penali o di procedimenti penali pendenti;</w:t>
            </w:r>
          </w:p>
          <w:p>
            <w:pPr>
              <w:pStyle w:val="Normal"/>
              <w:spacing w:lineRule="auto" w:line="240" w:before="0" w:after="0"/>
              <w:rPr/>
            </w:pPr>
            <w:r>
              <w:rPr/>
              <w:t>Inesistenza di qualsiasi causa ostativa a stipulare contratti con la Pubblica Amministrazione</w:t>
            </w:r>
          </w:p>
        </w:tc>
      </w:tr>
    </w:tbl>
    <w:p>
      <w:pPr>
        <w:pStyle w:val="Normal"/>
        <w:spacing w:before="0" w:after="0"/>
        <w:rPr/>
      </w:pPr>
      <w:r>
        <w:rPr/>
      </w:r>
    </w:p>
    <w:p>
      <w:pPr>
        <w:pStyle w:val="Normal"/>
        <w:spacing w:before="0" w:after="0"/>
        <w:rPr>
          <w:b/>
          <w:b/>
        </w:rPr>
      </w:pPr>
      <w:r>
        <w:rPr>
          <w:b/>
        </w:rPr>
      </w:r>
    </w:p>
    <w:p>
      <w:pPr>
        <w:pStyle w:val="Normal"/>
        <w:spacing w:before="0" w:after="0"/>
        <w:rPr>
          <w:b/>
          <w:b/>
        </w:rPr>
      </w:pPr>
      <w:r>
        <w:rPr>
          <w:b/>
        </w:rPr>
      </w:r>
    </w:p>
    <w:p>
      <w:pPr>
        <w:pStyle w:val="Normal"/>
        <w:spacing w:before="0" w:after="0"/>
        <w:jc w:val="center"/>
        <w:rPr>
          <w:b/>
          <w:b/>
        </w:rPr>
      </w:pPr>
      <w:r>
        <w:rPr>
          <w:b/>
        </w:rPr>
        <w:t xml:space="preserve"> </w:t>
      </w:r>
      <w:r>
        <w:rPr>
          <w:b/>
        </w:rPr>
        <w:t xml:space="preserve">Requisiti </w:t>
      </w:r>
    </w:p>
    <w:p>
      <w:pPr>
        <w:pStyle w:val="Normal"/>
        <w:spacing w:before="0" w:after="0"/>
        <w:rPr>
          <w:b/>
          <w:b/>
        </w:rPr>
      </w:pPr>
      <w:r>
        <w:rPr>
          <w:b/>
        </w:rPr>
      </w:r>
    </w:p>
    <w:tbl>
      <w:tblPr>
        <w:tblStyle w:val="Table3"/>
        <w:tblW w:w="14475" w:type="dxa"/>
        <w:jc w:val="left"/>
        <w:tblInd w:w="14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400"/>
      </w:tblPr>
      <w:tblGrid>
        <w:gridCol w:w="3420"/>
        <w:gridCol w:w="11054"/>
      </w:tblGrid>
      <w:tr>
        <w:trPr/>
        <w:tc>
          <w:tcPr>
            <w:tcW w:w="34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spacing w:lineRule="auto" w:line="240" w:before="0" w:after="0"/>
              <w:rPr>
                <w:b/>
                <w:b/>
              </w:rPr>
            </w:pPr>
            <w:r>
              <w:rPr>
                <w:b/>
              </w:rPr>
              <w:t>Criteri di ammissibilità delle proposte</w:t>
            </w:r>
          </w:p>
        </w:tc>
        <w:tc>
          <w:tcPr>
            <w:tcW w:w="11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b/>
              </w:rPr>
              <w:t>SI IMPEGNA</w:t>
            </w:r>
            <w:r>
              <w:rPr/>
              <w:t xml:space="preserve"> a </w:t>
            </w:r>
          </w:p>
          <w:p>
            <w:pPr>
              <w:pStyle w:val="Normal"/>
              <w:spacing w:lineRule="auto" w:line="240" w:before="0" w:after="0"/>
              <w:rPr/>
            </w:pPr>
            <w:r>
              <w:rPr/>
              <w:t xml:space="preserve">1. presentare nel rispetto dei termini previsti dal presente Avviso; azioni coerenti con la tipologia proposta dalla stazione appaltante; 3. aventi requisiti di ordine generale (capacità giuridica di ordine morale e professionale)di cui all'art. 80 del D.Lgvo n. 50/2016 e SS.MM.II; </w:t>
            </w:r>
            <w:r>
              <w:rPr>
                <w:b/>
              </w:rPr>
              <w:t>Inoltre la ditta/operatore economico dovrà produrre il documento che attesta che l'operatore economico può essere verificato tramite AVCPASS</w:t>
            </w:r>
            <w:r>
              <w:rPr/>
              <w:t xml:space="preserve"> (obbligatorio per le gare nei settori ordinari sopra i 40.000,00 euro). Si rammenta che ai sensi dell'art. 81 del D. Lg. vo 50/2016, la Stazione Appaltante verifica i requisiti di carattere generale, tecnico organizzativo ed economico finanziario esclusivamente tramite la banca Dati nazionale dei Contratti Pubblici, istituita presso l'autorità, mediante A VCPASS. A tal fine tutti i soggetti interessati a partecipare alla procedura devono registrarsi al sistema accedendo all'apposito link sul Portale AVCP (Servizi ad accesso riservato - AVCPASS) secondo le istruzioni ivi contenute. L'Operatore economico, effettuata la registrazione al servizio AVCPASS e individuata la procedura di affidamento cui intende partecipare (attraverso il CIG della procedura), ottiene dal sistema un PASSOE, da inserire nella busta contenente la documentazione amministrativa. Inoltre, gli operatori economici, tramite un'area dedicata, inseriscono al sistema i documenti relativi alla dimostrazione del possesso dei requisiti di capacità economico finanziaria e tecnico professionale che sono nella loro esclusiva disponibilità e, pertanto, non reperibili presso Enti certificatori. </w:t>
            </w:r>
          </w:p>
        </w:tc>
      </w:tr>
      <w:tr>
        <w:trPr/>
        <w:tc>
          <w:tcPr>
            <w:tcW w:w="34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numPr>
                <w:ilvl w:val="0"/>
                <w:numId w:val="2"/>
              </w:numPr>
              <w:spacing w:lineRule="auto" w:line="240"/>
              <w:ind w:left="720" w:hanging="360"/>
              <w:rPr>
                <w:b/>
                <w:b/>
              </w:rPr>
            </w:pPr>
            <w:r>
              <w:rPr>
                <w:b/>
              </w:rPr>
              <w:t>Requisiti di ordine generale</w:t>
            </w:r>
          </w:p>
          <w:p>
            <w:pPr>
              <w:pStyle w:val="Normal"/>
              <w:numPr>
                <w:ilvl w:val="0"/>
                <w:numId w:val="2"/>
              </w:numPr>
              <w:spacing w:lineRule="auto" w:line="240"/>
              <w:ind w:left="720" w:hanging="360"/>
              <w:rPr>
                <w:b/>
                <w:b/>
              </w:rPr>
            </w:pPr>
            <w:r>
              <w:rPr>
                <w:b/>
              </w:rPr>
              <w:t>art.80 del D.lgs. n.50/2016</w:t>
            </w:r>
          </w:p>
          <w:p>
            <w:pPr>
              <w:pStyle w:val="Normal"/>
              <w:spacing w:lineRule="auto" w:line="240" w:before="0" w:after="0"/>
              <w:rPr>
                <w:b/>
                <w:b/>
              </w:rPr>
            </w:pPr>
            <w:r>
              <w:rPr>
                <w:b/>
              </w:rPr>
            </w:r>
          </w:p>
          <w:p>
            <w:pPr>
              <w:pStyle w:val="Normal"/>
              <w:spacing w:lineRule="auto" w:line="240" w:before="0" w:after="0"/>
              <w:rPr/>
            </w:pPr>
            <w:r>
              <w:rPr/>
            </w:r>
          </w:p>
        </w:tc>
        <w:tc>
          <w:tcPr>
            <w:tcW w:w="11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b/>
              </w:rPr>
              <w:t>DICHIARO DI</w:t>
            </w:r>
            <w:r>
              <w:rPr/>
              <w:t xml:space="preserve"> avere i requisiti di capacità generale sostanziati dall’assenza di motivi di esclusione di cui all’art.80 del D.lgs.50/2016.</w:t>
            </w:r>
          </w:p>
          <w:p>
            <w:pPr>
              <w:pStyle w:val="Normal"/>
              <w:spacing w:lineRule="auto" w:line="240" w:before="0" w:after="0"/>
              <w:rPr/>
            </w:pPr>
            <w:r>
              <w:rPr/>
            </w:r>
          </w:p>
        </w:tc>
      </w:tr>
      <w:tr>
        <w:trPr/>
        <w:tc>
          <w:tcPr>
            <w:tcW w:w="34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spacing w:lineRule="auto" w:line="240" w:before="0" w:after="0"/>
              <w:rPr>
                <w:b/>
                <w:b/>
              </w:rPr>
            </w:pPr>
            <w:r>
              <w:rPr>
                <w:b/>
              </w:rPr>
              <w:t>Requisiti di idoneità professionale</w:t>
            </w:r>
          </w:p>
          <w:p>
            <w:pPr>
              <w:pStyle w:val="Normal"/>
              <w:numPr>
                <w:ilvl w:val="0"/>
                <w:numId w:val="2"/>
              </w:numPr>
              <w:spacing w:lineRule="auto" w:line="240"/>
              <w:ind w:left="720" w:hanging="360"/>
              <w:rPr>
                <w:b/>
                <w:b/>
              </w:rPr>
            </w:pPr>
            <w:r>
              <w:rPr>
                <w:b/>
              </w:rPr>
              <w:t xml:space="preserve"> </w:t>
            </w:r>
            <w:r>
              <w:rPr>
                <w:b/>
              </w:rPr>
              <w:t>art. 83, comma 1, lett. a del D.lgs. n.50/2016</w:t>
            </w:r>
          </w:p>
        </w:tc>
        <w:tc>
          <w:tcPr>
            <w:tcW w:w="11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b/>
              </w:rPr>
              <w:t xml:space="preserve">DICHIARA </w:t>
            </w:r>
            <w:r>
              <w:rPr/>
              <w:t>l’iscrizione nel registro della Camera di Commercio, Industria, Artigianato e Agricoltura</w:t>
            </w:r>
          </w:p>
          <w:p>
            <w:pPr>
              <w:pStyle w:val="Normal"/>
              <w:spacing w:lineRule="auto" w:line="240" w:before="0" w:after="0"/>
              <w:rPr/>
            </w:pPr>
            <w:r>
              <w:rPr/>
              <w:t>competente per territorio, per i servizi connessi al turismo scolastico (viaggi di studio e visite</w:t>
            </w:r>
          </w:p>
          <w:p>
            <w:pPr>
              <w:pStyle w:val="Normal"/>
              <w:spacing w:lineRule="auto" w:line="240" w:before="0" w:after="0"/>
              <w:rPr/>
            </w:pPr>
            <w:r>
              <w:rPr/>
              <w:t>guidate compresi il rilascio di titoli di viaggio terrestre/marittimo, pianificazione ed organizzazione</w:t>
            </w:r>
          </w:p>
          <w:p>
            <w:pPr>
              <w:pStyle w:val="Normal"/>
              <w:spacing w:lineRule="auto" w:line="240" w:before="0" w:after="0"/>
              <w:rPr/>
            </w:pPr>
            <w:r>
              <w:rPr/>
              <w:t>del viaggio e dell’assistenza accessoria) al cittadino di altro Stato membro non residente in Italia,</w:t>
            </w:r>
          </w:p>
          <w:p>
            <w:pPr>
              <w:pStyle w:val="Normal"/>
              <w:spacing w:lineRule="auto" w:line="240" w:before="0" w:after="0"/>
              <w:rPr/>
            </w:pPr>
            <w:r>
              <w:rPr/>
            </w:r>
          </w:p>
          <w:p>
            <w:pPr>
              <w:pStyle w:val="Normal"/>
              <w:spacing w:lineRule="auto" w:line="240" w:before="0" w:after="0"/>
              <w:rPr/>
            </w:pPr>
            <w:r>
              <w:rPr>
                <w:b/>
              </w:rPr>
              <w:t>DICHIARA</w:t>
            </w:r>
            <w:r>
              <w:rPr/>
              <w:t xml:space="preserve"> l'iscrizione, secondo le modalità vigenti nello Stato di residenza, in uno dei</w:t>
            </w:r>
          </w:p>
          <w:p>
            <w:pPr>
              <w:pStyle w:val="Normal"/>
              <w:spacing w:lineRule="auto" w:line="240" w:before="0" w:after="0"/>
              <w:rPr/>
            </w:pPr>
            <w:r>
              <w:rPr/>
              <w:t>registri professionali o commerciali di cui all'allegato XVI, del D.lgs. n.50/2016 mediante</w:t>
            </w:r>
          </w:p>
          <w:p>
            <w:pPr>
              <w:pStyle w:val="Normal"/>
              <w:spacing w:lineRule="auto" w:line="240" w:before="0" w:after="0"/>
              <w:rPr/>
            </w:pPr>
            <w:r>
              <w:rPr/>
              <w:t>dichiarazione giurata o secondo le modalità vigenti nello Stato membro nel quale è stabilito</w:t>
            </w:r>
          </w:p>
          <w:p>
            <w:pPr>
              <w:pStyle w:val="Normal"/>
              <w:spacing w:lineRule="auto" w:line="240" w:before="0" w:after="0"/>
              <w:rPr/>
            </w:pPr>
            <w:r>
              <w:rPr/>
              <w:t>ovvero mediante attestazione, sotto la propria responsabilità, che il certificato prodotto è stato</w:t>
            </w:r>
          </w:p>
          <w:p>
            <w:pPr>
              <w:pStyle w:val="Normal"/>
              <w:spacing w:lineRule="auto" w:line="240" w:before="0" w:after="0"/>
              <w:rPr/>
            </w:pPr>
            <w:r>
              <w:rPr/>
              <w:t>rilasciato da uno dei registri professionali o commerciali istituiti nel Paese in cui è residente;</w:t>
            </w:r>
          </w:p>
          <w:p>
            <w:pPr>
              <w:pStyle w:val="Normal"/>
              <w:spacing w:lineRule="auto" w:line="240" w:before="0" w:after="0"/>
              <w:rPr/>
            </w:pPr>
            <w:r>
              <w:rPr/>
            </w:r>
          </w:p>
          <w:p>
            <w:pPr>
              <w:pStyle w:val="Normal"/>
              <w:spacing w:lineRule="auto" w:line="240" w:before="0" w:after="0"/>
              <w:rPr>
                <w:sz w:val="20"/>
                <w:szCs w:val="20"/>
              </w:rPr>
            </w:pPr>
            <w:r>
              <w:rPr>
                <w:b/>
                <w:sz w:val="20"/>
                <w:szCs w:val="20"/>
              </w:rPr>
              <w:t xml:space="preserve">DICHIARO DI ESSERE ISCRITTO </w:t>
            </w:r>
            <w:r>
              <w:rPr>
                <w:sz w:val="20"/>
                <w:szCs w:val="20"/>
              </w:rPr>
              <w:t xml:space="preserve"> regolarmente  alla FIAVET</w:t>
            </w:r>
          </w:p>
          <w:p>
            <w:pPr>
              <w:pStyle w:val="Normal"/>
              <w:spacing w:lineRule="auto" w:line="240" w:before="0" w:after="0"/>
              <w:rPr>
                <w:sz w:val="20"/>
                <w:szCs w:val="20"/>
              </w:rPr>
            </w:pPr>
            <w:r>
              <w:rPr>
                <w:sz w:val="20"/>
                <w:szCs w:val="20"/>
              </w:rPr>
              <w:t xml:space="preserve">- Federazione Italiana Associazioni imprese Viaggi e Turismo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u w:val="single"/>
              </w:rPr>
            </w:pPr>
            <w:r>
              <w:rPr>
                <w:b/>
              </w:rPr>
              <w:t>DICHIARO DI</w:t>
            </w:r>
            <w:r>
              <w:rPr/>
              <w:t xml:space="preserve"> </w:t>
            </w:r>
            <w:r>
              <w:rPr>
                <w:u w:val="single"/>
              </w:rPr>
              <w:t>aver effettuato con esito positivo nel corso degli anni scolastici</w:t>
            </w:r>
          </w:p>
          <w:p>
            <w:pPr>
              <w:pStyle w:val="Normal"/>
              <w:spacing w:lineRule="auto" w:line="240" w:before="0" w:after="0"/>
              <w:rPr>
                <w:u w:val="single"/>
              </w:rPr>
            </w:pPr>
            <w:r>
              <w:rPr>
                <w:u w:val="single"/>
              </w:rPr>
              <w:t>2013/2014, 2014/15, 2015/16 e 2016/17,  2017/2018 con committenza da istituzioni scolastiche pubbliche, almeno 20 servizi connessi al turismo scolastico viaggi di studio e visite guidate compresi il rilascio di titoli di viaggio terrestre/marittimo, pianificazione ed organizzazione del viaggio e dell’assistenza</w:t>
            </w:r>
          </w:p>
          <w:p>
            <w:pPr>
              <w:pStyle w:val="Normal"/>
              <w:spacing w:lineRule="auto" w:line="240" w:before="0" w:after="0"/>
              <w:rPr>
                <w:u w:val="single"/>
              </w:rPr>
            </w:pPr>
            <w:r>
              <w:rPr>
                <w:u w:val="single"/>
              </w:rPr>
              <w:t>accessoria.</w:t>
            </w:r>
          </w:p>
          <w:p>
            <w:pPr>
              <w:pStyle w:val="Normal"/>
              <w:spacing w:lineRule="auto" w:line="240" w:before="0" w:after="0"/>
              <w:rPr/>
            </w:pPr>
            <w:r>
              <w:rPr/>
            </w:r>
          </w:p>
        </w:tc>
      </w:tr>
      <w:tr>
        <w:trPr/>
        <w:tc>
          <w:tcPr>
            <w:tcW w:w="34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spacing w:lineRule="auto" w:line="240" w:before="0" w:after="0"/>
              <w:rPr>
                <w:b/>
                <w:b/>
              </w:rPr>
            </w:pPr>
            <w:r>
              <w:rPr>
                <w:b/>
              </w:rPr>
              <w:t>Requisiti di capacità economica e finanziaria</w:t>
            </w:r>
          </w:p>
          <w:p>
            <w:pPr>
              <w:pStyle w:val="Normal"/>
              <w:spacing w:lineRule="auto" w:line="240" w:before="0" w:after="0"/>
              <w:rPr>
                <w:b/>
                <w:b/>
              </w:rPr>
            </w:pPr>
            <w:r>
              <w:rPr>
                <w:b/>
              </w:rPr>
              <w:t>(art.83, comma1, lett.b del D.lgs.n.50/2016)</w:t>
            </w:r>
          </w:p>
          <w:p>
            <w:pPr>
              <w:pStyle w:val="Normal"/>
              <w:spacing w:lineRule="auto" w:line="240" w:before="0" w:after="0"/>
              <w:rPr>
                <w:b/>
                <w:b/>
                <w:sz w:val="20"/>
                <w:szCs w:val="20"/>
              </w:rPr>
            </w:pPr>
            <w:r>
              <w:rPr>
                <w:b/>
                <w:sz w:val="20"/>
                <w:szCs w:val="20"/>
              </w:rPr>
            </w:r>
          </w:p>
          <w:p>
            <w:pPr>
              <w:pStyle w:val="Normal"/>
              <w:spacing w:lineRule="auto" w:line="240" w:before="0" w:after="0"/>
              <w:rPr/>
            </w:pPr>
            <w:r>
              <w:rPr/>
            </w:r>
          </w:p>
        </w:tc>
        <w:tc>
          <w:tcPr>
            <w:tcW w:w="11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b/>
              </w:rPr>
              <w:t xml:space="preserve">DICHIARO DI </w:t>
            </w:r>
            <w:r>
              <w:rPr/>
              <w:t xml:space="preserve"> aver realizzato nel triennio 2014/2015/2016</w:t>
            </w:r>
          </w:p>
          <w:p>
            <w:pPr>
              <w:pStyle w:val="Normal"/>
              <w:spacing w:lineRule="auto" w:line="240" w:before="0" w:after="0"/>
              <w:rPr>
                <w:u w:val="single"/>
              </w:rPr>
            </w:pPr>
            <w:r>
              <w:rPr>
                <w:u w:val="single"/>
              </w:rPr>
              <w:t>un fatturato per i servizi connessi al turismo scolastico (viaggi di studio e visite guidate compresi</w:t>
            </w:r>
          </w:p>
          <w:p>
            <w:pPr>
              <w:pStyle w:val="Normal"/>
              <w:spacing w:lineRule="auto" w:line="240" w:before="0" w:after="0"/>
              <w:rPr>
                <w:u w:val="single"/>
              </w:rPr>
            </w:pPr>
            <w:r>
              <w:rPr>
                <w:u w:val="single"/>
              </w:rPr>
              <w:t>Il rilascio di titoli di viaggio terrestre e marittimo, di pianificazione ed organizzazione del viaggio e</w:t>
            </w:r>
          </w:p>
          <w:p>
            <w:pPr>
              <w:pStyle w:val="Normal"/>
              <w:spacing w:lineRule="auto" w:line="240" w:before="0" w:after="0"/>
              <w:rPr/>
            </w:pPr>
            <w:r>
              <w:rPr>
                <w:u w:val="single"/>
              </w:rPr>
              <w:t>dell’assistenza accessori) al netto dell'IVA, non inferiore ad €. 80.000,00</w:t>
            </w:r>
            <w:r>
              <w:rPr/>
              <w:t xml:space="preserve"> (ottantamila/00), doppio</w:t>
            </w:r>
          </w:p>
          <w:p>
            <w:pPr>
              <w:pStyle w:val="Normal"/>
              <w:spacing w:lineRule="auto" w:line="240" w:before="0" w:after="0"/>
              <w:rPr/>
            </w:pPr>
            <w:r>
              <w:rPr/>
              <w:t>del valore stimato dell'appalto calcolato in relazione al periodo di riferimento dello stesso</w:t>
            </w:r>
          </w:p>
          <w:p>
            <w:pPr>
              <w:pStyle w:val="Normal"/>
              <w:spacing w:lineRule="auto" w:line="240" w:before="0" w:after="0"/>
              <w:rPr/>
            </w:pPr>
            <w:r>
              <w:rPr>
                <w:b/>
              </w:rPr>
              <w:t>DICHIARO CHE IL</w:t>
            </w:r>
            <w:r>
              <w:rPr/>
              <w:t xml:space="preserve"> fatturato realizzato nel triennio 2014/2015/2016 per i servizi connessi al turismo scolastico (viaggi di studio e visite guidate compresi il rilascio di titoli di viaggio terrestre e marittimo, di pianificazione ed</w:t>
            </w:r>
          </w:p>
          <w:p>
            <w:pPr>
              <w:pStyle w:val="Normal"/>
              <w:spacing w:lineRule="auto" w:line="240" w:before="0" w:after="0"/>
              <w:rPr/>
            </w:pPr>
            <w:r>
              <w:rPr/>
              <w:t>organizzazione del viaggio e dell’assistenza accessori), al netto dell'IVA, non inferiore ad €.</w:t>
            </w:r>
          </w:p>
          <w:p>
            <w:pPr>
              <w:pStyle w:val="Normal"/>
              <w:spacing w:lineRule="auto" w:line="240" w:before="0" w:after="0"/>
              <w:rPr/>
            </w:pPr>
            <w:r>
              <w:rPr/>
              <w:t>80.000,00 (ottantamila/00), doppio del valore stimato dell'appalto calcolato in relazione al periodo</w:t>
            </w:r>
          </w:p>
          <w:p>
            <w:pPr>
              <w:pStyle w:val="Normal"/>
              <w:spacing w:lineRule="auto" w:line="240" w:before="0" w:after="0"/>
              <w:rPr>
                <w:u w:val="single"/>
              </w:rPr>
            </w:pPr>
            <w:r>
              <w:rPr/>
              <w:t xml:space="preserve">di riferimento dello stesso, </w:t>
            </w:r>
            <w:r>
              <w:rPr>
                <w:u w:val="single"/>
              </w:rPr>
              <w:t>è posseduto dalla impresa mandataria in misura maggioritaria e,</w:t>
            </w:r>
            <w:r>
              <w:rPr/>
              <w:t xml:space="preserve"> </w:t>
            </w:r>
            <w:r>
              <w:rPr>
                <w:u w:val="single"/>
              </w:rPr>
              <w:t>per la</w:t>
            </w:r>
          </w:p>
          <w:p>
            <w:pPr>
              <w:pStyle w:val="Normal"/>
              <w:spacing w:lineRule="auto" w:line="240" w:before="0" w:after="0"/>
              <w:rPr>
                <w:u w:val="single"/>
              </w:rPr>
            </w:pPr>
            <w:r>
              <w:rPr>
                <w:u w:val="single"/>
              </w:rPr>
              <w:t>parte rimanente, per almeno il 10% da ciascuna delle imprese mandanti;</w:t>
            </w:r>
          </w:p>
          <w:p>
            <w:pPr>
              <w:pStyle w:val="Normal"/>
              <w:spacing w:lineRule="auto" w:line="240" w:before="0" w:after="0"/>
              <w:rPr/>
            </w:pPr>
            <w:r>
              <w:rPr/>
              <w:t>-</w:t>
            </w:r>
            <w:r>
              <w:rPr>
                <w:b/>
              </w:rPr>
              <w:t>DICHIARO DI fornire</w:t>
            </w:r>
            <w:r>
              <w:rPr/>
              <w:t>, a richiesta della stazione appaltante, poter fornire informazioni</w:t>
            </w:r>
          </w:p>
          <w:p>
            <w:pPr>
              <w:pStyle w:val="Normal"/>
              <w:spacing w:lineRule="auto" w:line="240" w:before="0" w:after="0"/>
              <w:rPr/>
            </w:pPr>
            <w:r>
              <w:rPr/>
              <w:t>riguardo ai loro conti annuali che possano evidenziare in particolare i rapporti tra attività e passività;</w:t>
            </w:r>
          </w:p>
          <w:p>
            <w:pPr>
              <w:pStyle w:val="Normal"/>
              <w:spacing w:lineRule="auto" w:line="240" w:before="0" w:after="0"/>
              <w:rPr/>
            </w:pPr>
            <w:r>
              <w:rPr/>
              <w:t xml:space="preserve">- </w:t>
            </w:r>
            <w:r>
              <w:rPr>
                <w:b/>
              </w:rPr>
              <w:t xml:space="preserve">DICHIARO DI </w:t>
            </w:r>
            <w:r>
              <w:rPr/>
              <w:t>essere in condizione di garantire un livello, adeguato al valore</w:t>
            </w:r>
          </w:p>
          <w:p>
            <w:pPr>
              <w:pStyle w:val="Normal"/>
              <w:spacing w:lineRule="auto" w:line="240" w:before="0" w:after="0"/>
              <w:rPr>
                <w:u w:val="single"/>
              </w:rPr>
            </w:pPr>
            <w:r>
              <w:rPr/>
              <w:t xml:space="preserve">stimato dell'appalto calcolato in relazione al periodo di riferimento dello stesso, </w:t>
            </w:r>
            <w:r>
              <w:rPr>
                <w:u w:val="single"/>
              </w:rPr>
              <w:t>di copertura</w:t>
            </w:r>
          </w:p>
          <w:p>
            <w:pPr>
              <w:pStyle w:val="Normal"/>
              <w:spacing w:lineRule="auto" w:line="240" w:before="0" w:after="0"/>
              <w:rPr>
                <w:u w:val="single"/>
              </w:rPr>
            </w:pPr>
            <w:r>
              <w:rPr>
                <w:u w:val="single"/>
              </w:rPr>
              <w:t>assicurativa contro i rischi professionali;</w:t>
            </w:r>
          </w:p>
        </w:tc>
      </w:tr>
      <w:tr>
        <w:trPr/>
        <w:tc>
          <w:tcPr>
            <w:tcW w:w="34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spacing w:lineRule="auto" w:line="240" w:before="0" w:after="0"/>
              <w:rPr>
                <w:b/>
                <w:b/>
              </w:rPr>
            </w:pPr>
            <w:r>
              <w:rPr>
                <w:b/>
              </w:rPr>
              <w:t>Requisiti di capacità tecnica</w:t>
            </w:r>
          </w:p>
          <w:p>
            <w:pPr>
              <w:pStyle w:val="Normal"/>
              <w:spacing w:lineRule="auto" w:line="240" w:before="0" w:after="0"/>
              <w:rPr>
                <w:b/>
                <w:b/>
              </w:rPr>
            </w:pPr>
            <w:r>
              <w:rPr>
                <w:b/>
              </w:rPr>
              <w:t>(art. 83, comma 1, lett. c, del D.lgs. n.50/2016)</w:t>
            </w:r>
          </w:p>
          <w:p>
            <w:pPr>
              <w:pStyle w:val="Normal"/>
              <w:spacing w:lineRule="auto" w:line="240" w:before="0" w:after="0"/>
              <w:rPr>
                <w:b/>
                <w:b/>
              </w:rPr>
            </w:pPr>
            <w:r>
              <w:rPr>
                <w:b/>
              </w:rPr>
            </w:r>
          </w:p>
          <w:p>
            <w:pPr>
              <w:pStyle w:val="Normal"/>
              <w:spacing w:lineRule="auto" w:line="240" w:before="0" w:after="0"/>
              <w:rPr/>
            </w:pPr>
            <w:r>
              <w:rPr/>
            </w:r>
          </w:p>
        </w:tc>
        <w:tc>
          <w:tcPr>
            <w:tcW w:w="110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lineRule="auto" w:line="240" w:before="0" w:after="0"/>
              <w:rPr/>
            </w:pPr>
            <w:r>
              <w:rPr>
                <w:b/>
              </w:rPr>
              <w:t>DICHIARO DI GARANTIRE</w:t>
            </w:r>
            <w:r>
              <w:rPr/>
              <w:t xml:space="preserve">  il possesso delle risorse umane e tecniche e l'esperienza necessarie per eseguire l'appalto con un adeguato standard di qualità con riferimento alla loro competenza, efficienza, esperienza e affidabilità;</w:t>
            </w:r>
          </w:p>
          <w:p>
            <w:pPr>
              <w:pStyle w:val="Normal"/>
              <w:spacing w:lineRule="auto" w:line="240" w:before="0" w:after="0"/>
              <w:rPr/>
            </w:pPr>
            <w:r>
              <w:rPr>
                <w:b/>
              </w:rPr>
              <w:t>DICHIARO DI</w:t>
            </w:r>
            <w:r>
              <w:rPr/>
              <w:t xml:space="preserve">  essere in possessodella Certificazione di qualità UNI EN ISO9001:2008;</w:t>
            </w:r>
          </w:p>
          <w:p>
            <w:pPr>
              <w:pStyle w:val="Normal"/>
              <w:spacing w:lineRule="auto" w:line="240" w:before="0" w:after="0"/>
              <w:rPr/>
            </w:pPr>
            <w:r>
              <w:rPr/>
            </w:r>
          </w:p>
          <w:p>
            <w:pPr>
              <w:pStyle w:val="Normal"/>
              <w:spacing w:lineRule="auto" w:line="240" w:before="0" w:after="0"/>
              <w:rPr/>
            </w:pPr>
            <w:r>
              <w:rPr>
                <w:b/>
              </w:rPr>
              <w:t xml:space="preserve">DICHIARO DI </w:t>
            </w:r>
            <w:r>
              <w:rPr/>
              <w:t>disporre di una struttura a norma con le leggi vigenti, compresa la sicurezza sui luoghi del lavoro, ed in grado di assumere la completa responsabilità tecnica-organizzativa del servizio richiesto;</w:t>
            </w:r>
          </w:p>
          <w:p>
            <w:pPr>
              <w:pStyle w:val="Normal"/>
              <w:spacing w:lineRule="auto" w:line="240" w:before="0" w:after="0"/>
              <w:rPr/>
            </w:pPr>
            <w:r>
              <w:rPr/>
              <w:t xml:space="preserve">- </w:t>
            </w:r>
            <w:r>
              <w:rPr>
                <w:b/>
              </w:rPr>
              <w:t>DICHIARO DI</w:t>
            </w:r>
            <w:r>
              <w:rPr/>
              <w:t xml:space="preserve"> avere alle proprie dipendenze almeno un responsabile dell'area delle prestazioni di cui al presente appalto con adeguato curriculum relativo alla conduzione ai servizi connessi al turismo scolastico, per viaggi di studio compresi il rilascio di titoli di viaggio terrestre e aereo, di pianificazione ed organizzazione del viaggio e dell’assistenza accessoria</w:t>
            </w:r>
          </w:p>
        </w:tc>
      </w:tr>
    </w:tbl>
    <w:p>
      <w:pPr>
        <w:pStyle w:val="Normal"/>
        <w:spacing w:before="0" w:after="0"/>
        <w:rPr>
          <w:rFonts w:ascii="Times" w:hAnsi="Times" w:eastAsia="Times" w:cs="Times"/>
          <w:b/>
          <w:b/>
          <w:sz w:val="24"/>
          <w:szCs w:val="24"/>
        </w:rPr>
      </w:pPr>
      <w:r>
        <w:rPr>
          <w:rFonts w:eastAsia="Times" w:cs="Times" w:ascii="Times" w:hAnsi="Times"/>
          <w:b/>
          <w:sz w:val="24"/>
          <w:szCs w:val="24"/>
        </w:rPr>
      </w:r>
    </w:p>
    <w:p>
      <w:pPr>
        <w:pStyle w:val="Normal"/>
        <w:spacing w:before="0" w:after="0"/>
        <w:rPr>
          <w:rFonts w:ascii="Times" w:hAnsi="Times" w:eastAsia="Times" w:cs="Times"/>
          <w:b/>
          <w:b/>
          <w:sz w:val="24"/>
          <w:szCs w:val="24"/>
        </w:rPr>
      </w:pPr>
      <w:r>
        <w:rPr>
          <w:rFonts w:eastAsia="Times" w:cs="Times" w:ascii="Times" w:hAnsi="Times"/>
          <w:b/>
          <w:sz w:val="24"/>
          <w:szCs w:val="24"/>
        </w:rPr>
      </w:r>
    </w:p>
    <w:p>
      <w:pPr>
        <w:pStyle w:val="Normal"/>
        <w:spacing w:before="0" w:after="0"/>
        <w:jc w:val="center"/>
        <w:rPr>
          <w:rFonts w:ascii="Times" w:hAnsi="Times" w:eastAsia="Times" w:cs="Times"/>
          <w:b/>
          <w:b/>
          <w:sz w:val="24"/>
          <w:szCs w:val="24"/>
        </w:rPr>
      </w:pPr>
      <w:r>
        <w:rPr>
          <w:rFonts w:eastAsia="Times" w:cs="Times" w:ascii="Times" w:hAnsi="Times"/>
          <w:b/>
          <w:sz w:val="24"/>
          <w:szCs w:val="24"/>
        </w:rPr>
        <w:t>DICHIARA DI AVER PROCEDUTO CON LA REGISTRAZIONE</w:t>
      </w:r>
    </w:p>
    <w:p>
      <w:pPr>
        <w:pStyle w:val="Normal"/>
        <w:widowControl w:val="false"/>
        <w:spacing w:lineRule="auto" w:line="240" w:before="0" w:after="0"/>
        <w:rPr/>
      </w:pPr>
      <w:r>
        <w:rPr>
          <w:rFonts w:eastAsia="Times" w:cs="Times" w:ascii="Times" w:hAnsi="Times"/>
          <w:sz w:val="24"/>
          <w:szCs w:val="24"/>
        </w:rPr>
        <w:t xml:space="preserve">secondo le indicazione del seguente </w:t>
      </w:r>
      <w:hyperlink r:id="rId2">
        <w:r>
          <w:rPr>
            <w:rStyle w:val="CollegamentoInternet"/>
            <w:rFonts w:eastAsia="Times" w:cs="Times" w:ascii="Times" w:hAnsi="Times"/>
            <w:color w:val="1155CC"/>
            <w:sz w:val="24"/>
            <w:szCs w:val="24"/>
            <w:u w:val="single"/>
          </w:rPr>
          <w:t xml:space="preserve">link per la registrazione in area riservata Elenco fornitori IIS Torriani </w:t>
        </w:r>
      </w:hyperlink>
    </w:p>
    <w:p>
      <w:pPr>
        <w:pStyle w:val="Normal"/>
        <w:widowControl w:val="false"/>
        <w:spacing w:lineRule="auto" w:line="240" w:before="0" w:after="0"/>
        <w:rPr>
          <w:rFonts w:ascii="Times" w:hAnsi="Times" w:eastAsia="Times" w:cs="Times"/>
          <w:sz w:val="24"/>
          <w:szCs w:val="24"/>
        </w:rPr>
      </w:pPr>
      <w:r>
        <w:rPr>
          <w:rFonts w:eastAsia="Times" w:cs="Times" w:ascii="Times" w:hAnsi="Times"/>
          <w:sz w:val="24"/>
          <w:szCs w:val="24"/>
        </w:rPr>
      </w:r>
    </w:p>
    <w:p>
      <w:pPr>
        <w:pStyle w:val="Normal"/>
        <w:spacing w:before="0" w:after="0"/>
        <w:rPr>
          <w:rFonts w:ascii="Times" w:hAnsi="Times" w:eastAsia="Times" w:cs="Times"/>
          <w:sz w:val="24"/>
          <w:szCs w:val="24"/>
        </w:rPr>
      </w:pPr>
      <w:r>
        <w:rPr>
          <w:rFonts w:eastAsia="Times" w:cs="Times" w:ascii="Times" w:hAnsi="Times"/>
          <w:sz w:val="24"/>
          <w:szCs w:val="24"/>
        </w:rPr>
        <w:t>e di avere allegato</w:t>
      </w:r>
    </w:p>
    <w:p>
      <w:pPr>
        <w:pStyle w:val="Normal"/>
        <w:numPr>
          <w:ilvl w:val="0"/>
          <w:numId w:val="1"/>
        </w:numPr>
        <w:spacing w:before="0" w:after="0"/>
        <w:ind w:left="720" w:hanging="360"/>
        <w:contextualSpacing/>
        <w:rPr>
          <w:rFonts w:ascii="Times" w:hAnsi="Times" w:eastAsia="Times" w:cs="Times"/>
          <w:sz w:val="24"/>
          <w:szCs w:val="24"/>
        </w:rPr>
      </w:pPr>
      <w:r>
        <w:rPr>
          <w:rFonts w:eastAsia="Times" w:cs="Times" w:ascii="Times" w:hAnsi="Times"/>
          <w:sz w:val="24"/>
          <w:szCs w:val="24"/>
        </w:rPr>
        <w:t>Fotocopia di documento di identità valido;</w:t>
      </w:r>
    </w:p>
    <w:p>
      <w:pPr>
        <w:pStyle w:val="Normal"/>
        <w:widowControl w:val="false"/>
        <w:numPr>
          <w:ilvl w:val="0"/>
          <w:numId w:val="1"/>
        </w:numPr>
        <w:spacing w:lineRule="auto" w:line="240" w:before="0" w:after="0"/>
        <w:ind w:left="720" w:hanging="360"/>
        <w:contextualSpacing/>
        <w:rPr>
          <w:rFonts w:ascii="Times" w:hAnsi="Times" w:eastAsia="Times" w:cs="Times"/>
          <w:sz w:val="24"/>
          <w:szCs w:val="24"/>
        </w:rPr>
      </w:pPr>
      <w:r>
        <w:rPr>
          <w:rFonts w:eastAsia="Times" w:cs="Times" w:ascii="Times" w:hAnsi="Times"/>
          <w:sz w:val="24"/>
          <w:szCs w:val="24"/>
        </w:rPr>
        <w:t>Informativa privacy</w:t>
      </w:r>
    </w:p>
    <w:p>
      <w:pPr>
        <w:pStyle w:val="Normal"/>
        <w:widowControl w:val="false"/>
        <w:numPr>
          <w:ilvl w:val="0"/>
          <w:numId w:val="1"/>
        </w:numPr>
        <w:spacing w:lineRule="auto" w:line="240" w:before="0" w:after="0"/>
        <w:ind w:left="720" w:hanging="360"/>
        <w:contextualSpacing/>
        <w:rPr>
          <w:rFonts w:ascii="Times" w:hAnsi="Times" w:eastAsia="Times" w:cs="Times"/>
          <w:sz w:val="24"/>
          <w:szCs w:val="24"/>
        </w:rPr>
      </w:pPr>
      <w:r>
        <w:rPr>
          <w:rFonts w:eastAsia="Times" w:cs="Times" w:ascii="Times" w:hAnsi="Times"/>
          <w:sz w:val="24"/>
          <w:szCs w:val="24"/>
        </w:rPr>
        <w:t>Patto d’integrità</w:t>
      </w:r>
    </w:p>
    <w:p>
      <w:pPr>
        <w:pStyle w:val="Normal"/>
        <w:widowControl w:val="false"/>
        <w:numPr>
          <w:ilvl w:val="0"/>
          <w:numId w:val="1"/>
        </w:numPr>
        <w:spacing w:lineRule="auto" w:line="240" w:before="0" w:after="0"/>
        <w:ind w:left="720" w:hanging="360"/>
        <w:contextualSpacing/>
        <w:rPr>
          <w:rFonts w:ascii="Times" w:hAnsi="Times" w:eastAsia="Times" w:cs="Times"/>
          <w:sz w:val="24"/>
          <w:szCs w:val="24"/>
        </w:rPr>
      </w:pPr>
      <w:r>
        <w:rPr>
          <w:rFonts w:eastAsia="Times" w:cs="Times" w:ascii="Times" w:hAnsi="Times"/>
          <w:sz w:val="24"/>
          <w:szCs w:val="24"/>
        </w:rPr>
        <w:t>Scheda fornitore con riferimenti agli obblighi di tracciabilità</w:t>
      </w:r>
    </w:p>
    <w:p>
      <w:pPr>
        <w:pStyle w:val="Normal"/>
        <w:widowControl w:val="false"/>
        <w:numPr>
          <w:ilvl w:val="0"/>
          <w:numId w:val="1"/>
        </w:numPr>
        <w:spacing w:lineRule="auto" w:line="240" w:before="0" w:after="0"/>
        <w:ind w:left="720" w:hanging="360"/>
        <w:contextualSpacing/>
        <w:rPr>
          <w:rFonts w:ascii="Times" w:hAnsi="Times" w:eastAsia="Times" w:cs="Times"/>
          <w:sz w:val="24"/>
          <w:szCs w:val="24"/>
        </w:rPr>
      </w:pPr>
      <w:r>
        <w:rPr>
          <w:rFonts w:eastAsia="Times" w:cs="Times" w:ascii="Times" w:hAnsi="Times"/>
          <w:sz w:val="24"/>
          <w:szCs w:val="24"/>
        </w:rPr>
        <w:t xml:space="preserve">Dichiarazione di altri incarichi </w:t>
      </w:r>
    </w:p>
    <w:p>
      <w:pPr>
        <w:pStyle w:val="Normal"/>
        <w:spacing w:before="0" w:after="0"/>
        <w:jc w:val="center"/>
        <w:rPr>
          <w:rFonts w:ascii="Times" w:hAnsi="Times" w:eastAsia="Times" w:cs="Times"/>
          <w:b/>
          <w:b/>
          <w:sz w:val="24"/>
          <w:szCs w:val="24"/>
        </w:rPr>
      </w:pPr>
      <w:r>
        <w:rPr>
          <w:rFonts w:eastAsia="Times" w:cs="Times" w:ascii="Times" w:hAnsi="Times"/>
          <w:b/>
          <w:sz w:val="24"/>
          <w:szCs w:val="24"/>
        </w:rPr>
      </w:r>
    </w:p>
    <w:p>
      <w:pPr>
        <w:pStyle w:val="Normal"/>
        <w:spacing w:before="0" w:after="0"/>
        <w:jc w:val="center"/>
        <w:rPr>
          <w:rFonts w:ascii="Times" w:hAnsi="Times" w:eastAsia="Times" w:cs="Times"/>
          <w:b/>
          <w:b/>
          <w:sz w:val="24"/>
          <w:szCs w:val="24"/>
        </w:rPr>
      </w:pPr>
      <w:r>
        <w:rPr>
          <w:rFonts w:eastAsia="Times" w:cs="Times" w:ascii="Times" w:hAnsi="Times"/>
          <w:b/>
          <w:sz w:val="24"/>
          <w:szCs w:val="24"/>
        </w:rPr>
      </w:r>
    </w:p>
    <w:p>
      <w:pPr>
        <w:pStyle w:val="Normal"/>
        <w:spacing w:before="0" w:after="0"/>
        <w:jc w:val="left"/>
        <w:rPr>
          <w:rFonts w:ascii="Times" w:hAnsi="Times" w:eastAsia="Times" w:cs="Times"/>
          <w:b/>
          <w:b/>
          <w:sz w:val="24"/>
          <w:szCs w:val="24"/>
        </w:rPr>
      </w:pPr>
      <w:r>
        <w:rPr>
          <w:rFonts w:eastAsia="Times" w:cs="Times" w:ascii="Times" w:hAnsi="Times"/>
          <w:b/>
          <w:sz w:val="24"/>
          <w:szCs w:val="24"/>
        </w:rPr>
      </w:r>
    </w:p>
    <w:p>
      <w:pPr>
        <w:pStyle w:val="Normal"/>
        <w:spacing w:before="0" w:after="0"/>
        <w:jc w:val="center"/>
        <w:rPr>
          <w:rFonts w:ascii="Times" w:hAnsi="Times" w:eastAsia="Times" w:cs="Times"/>
          <w:b/>
          <w:b/>
          <w:sz w:val="24"/>
          <w:szCs w:val="24"/>
        </w:rPr>
      </w:pPr>
      <w:r>
        <w:rPr>
          <w:rFonts w:eastAsia="Times" w:cs="Times" w:ascii="Times" w:hAnsi="Times"/>
          <w:b/>
          <w:sz w:val="24"/>
          <w:szCs w:val="24"/>
        </w:rPr>
        <w:t xml:space="preserve">E ALLEGA ALLA PRESENTE </w:t>
      </w:r>
    </w:p>
    <w:tbl>
      <w:tblPr>
        <w:tblStyle w:val="Table4"/>
        <w:tblW w:w="14745" w:type="dxa"/>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400"/>
      </w:tblPr>
      <w:tblGrid>
        <w:gridCol w:w="3404"/>
        <w:gridCol w:w="11340"/>
      </w:tblGrid>
      <w:tr>
        <w:trPr/>
        <w:tc>
          <w:tcPr>
            <w:tcW w:w="34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B6D7A8" w:val="clear"/>
            <w:tcMar>
              <w:left w:w="80" w:type="dxa"/>
            </w:tcMar>
          </w:tcPr>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tc>
        <w:tc>
          <w:tcPr>
            <w:tcW w:w="113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widowControl w:val="false"/>
              <w:spacing w:lineRule="auto" w:line="240" w:before="0" w:after="0"/>
              <w:ind w:left="720" w:hanging="0"/>
              <w:rPr>
                <w:rFonts w:ascii="Times" w:hAnsi="Times" w:eastAsia="Times" w:cs="Times"/>
                <w:sz w:val="24"/>
                <w:szCs w:val="24"/>
              </w:rPr>
            </w:pPr>
            <w:r>
              <w:rPr>
                <w:rFonts w:eastAsia="Times" w:cs="Times" w:ascii="Times" w:hAnsi="Times"/>
                <w:sz w:val="24"/>
                <w:szCs w:val="24"/>
              </w:rPr>
            </w:r>
          </w:p>
          <w:p>
            <w:pPr>
              <w:pStyle w:val="Normal"/>
              <w:numPr>
                <w:ilvl w:val="0"/>
                <w:numId w:val="1"/>
              </w:numPr>
              <w:ind w:left="720" w:hanging="360"/>
              <w:rPr>
                <w:rFonts w:ascii="Times" w:hAnsi="Times" w:eastAsia="Times" w:cs="Times"/>
                <w:sz w:val="24"/>
                <w:szCs w:val="24"/>
              </w:rPr>
            </w:pPr>
            <w:r>
              <w:rPr>
                <w:rFonts w:eastAsia="Times" w:cs="Times" w:ascii="Times" w:hAnsi="Times"/>
                <w:i/>
                <w:sz w:val="24"/>
                <w:szCs w:val="24"/>
              </w:rPr>
              <w:t>Copia dell’autorizzazione regionale all’esercizio dell’attività professionale delle agenzie di</w:t>
            </w:r>
          </w:p>
          <w:p>
            <w:pPr>
              <w:pStyle w:val="Normal"/>
              <w:spacing w:before="0" w:after="0"/>
              <w:ind w:left="720" w:hanging="0"/>
              <w:rPr>
                <w:rFonts w:ascii="Times" w:hAnsi="Times" w:eastAsia="Times" w:cs="Times"/>
                <w:i/>
                <w:i/>
                <w:sz w:val="24"/>
                <w:szCs w:val="24"/>
              </w:rPr>
            </w:pPr>
            <w:r>
              <w:rPr>
                <w:rFonts w:eastAsia="Times" w:cs="Times" w:ascii="Times" w:hAnsi="Times"/>
                <w:i/>
                <w:sz w:val="24"/>
                <w:szCs w:val="24"/>
              </w:rPr>
              <w:t>viaggio e turismo, precisando gli estremi e fornendo gli eventuali riferimenti in ordine</w:t>
            </w:r>
          </w:p>
          <w:p>
            <w:pPr>
              <w:pStyle w:val="Normal"/>
              <w:spacing w:before="0" w:after="0"/>
              <w:ind w:left="720" w:hanging="0"/>
              <w:rPr>
                <w:rFonts w:ascii="Times" w:hAnsi="Times" w:eastAsia="Times" w:cs="Times"/>
                <w:i/>
                <w:i/>
                <w:sz w:val="24"/>
                <w:szCs w:val="24"/>
              </w:rPr>
            </w:pPr>
            <w:r>
              <w:rPr>
                <w:rFonts w:eastAsia="Times" w:cs="Times" w:ascii="Times" w:hAnsi="Times"/>
                <w:i/>
                <w:sz w:val="24"/>
                <w:szCs w:val="24"/>
              </w:rPr>
              <w:t>all’iscrizione, nell’apposito registro, del titolare e del direttore tecnico;</w:t>
            </w:r>
          </w:p>
          <w:p>
            <w:pPr>
              <w:pStyle w:val="Normal"/>
              <w:numPr>
                <w:ilvl w:val="0"/>
                <w:numId w:val="1"/>
              </w:numPr>
              <w:ind w:left="720" w:hanging="360"/>
              <w:rPr>
                <w:rFonts w:ascii="Times" w:hAnsi="Times" w:eastAsia="Times" w:cs="Times"/>
                <w:sz w:val="24"/>
                <w:szCs w:val="24"/>
              </w:rPr>
            </w:pPr>
            <w:r>
              <w:rPr>
                <w:rFonts w:eastAsia="Times" w:cs="Times" w:ascii="Times" w:hAnsi="Times"/>
                <w:i/>
                <w:sz w:val="24"/>
                <w:szCs w:val="24"/>
              </w:rPr>
              <w:t>Copia del certificato di Iscrizione alla Camera di Commercio.</w:t>
            </w:r>
          </w:p>
          <w:p>
            <w:pPr>
              <w:pStyle w:val="Normal"/>
              <w:numPr>
                <w:ilvl w:val="0"/>
                <w:numId w:val="1"/>
              </w:numPr>
              <w:ind w:left="720" w:hanging="360"/>
              <w:rPr>
                <w:rFonts w:ascii="Times" w:hAnsi="Times" w:eastAsia="Times" w:cs="Times"/>
                <w:sz w:val="24"/>
                <w:szCs w:val="24"/>
              </w:rPr>
            </w:pPr>
            <w:r>
              <w:rPr>
                <w:rFonts w:eastAsia="Times" w:cs="Times" w:ascii="Times" w:hAnsi="Times"/>
                <w:i/>
                <w:sz w:val="24"/>
                <w:szCs w:val="24"/>
              </w:rPr>
              <w:t>Curriculum dell’agenzia di viaggio o tour operator dal quale risulti evidente e valutabile</w:t>
            </w:r>
          </w:p>
          <w:p>
            <w:pPr>
              <w:pStyle w:val="Normal"/>
              <w:spacing w:before="0" w:after="0"/>
              <w:ind w:left="720" w:hanging="0"/>
              <w:rPr>
                <w:rFonts w:ascii="Times" w:hAnsi="Times" w:eastAsia="Times" w:cs="Times"/>
                <w:i/>
                <w:i/>
                <w:sz w:val="24"/>
                <w:szCs w:val="24"/>
              </w:rPr>
            </w:pPr>
            <w:r>
              <w:rPr>
                <w:rFonts w:eastAsia="Times" w:cs="Times" w:ascii="Times" w:hAnsi="Times"/>
                <w:i/>
                <w:sz w:val="24"/>
                <w:szCs w:val="24"/>
              </w:rPr>
              <w:t>l’esperienza dell’offerente quale operatore specializzato in soggiorni per studenti delle Istituzioni Scolastiche Statali</w:t>
            </w:r>
          </w:p>
          <w:p>
            <w:pPr>
              <w:pStyle w:val="Normal"/>
              <w:numPr>
                <w:ilvl w:val="0"/>
                <w:numId w:val="3"/>
              </w:numPr>
              <w:spacing w:before="0" w:after="0"/>
              <w:ind w:left="1440" w:hanging="360"/>
              <w:contextualSpacing/>
              <w:rPr>
                <w:rFonts w:ascii="Times" w:hAnsi="Times" w:eastAsia="Times" w:cs="Times"/>
                <w:i/>
                <w:i/>
                <w:sz w:val="24"/>
                <w:szCs w:val="24"/>
                <w:u w:val="none"/>
              </w:rPr>
            </w:pPr>
            <w:r>
              <w:rPr>
                <w:rFonts w:eastAsia="Times" w:cs="Times" w:ascii="Times" w:hAnsi="Times"/>
                <w:i/>
                <w:sz w:val="24"/>
                <w:szCs w:val="24"/>
              </w:rPr>
              <w:t>Dichiarazione del legale rappresentante che i presupposti e le modalità di intervento del</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fondo di garanzia di cui all’art. 21 del D.Lgs. n. 111 del 17 marzo 1995 saranno conformi</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alla disposizioni previste dagli artt. 1 e 5 del Decreto Ministero Industria Commercio e</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Artigianato del 23 Luglio 1999, n. 349.</w:t>
            </w:r>
          </w:p>
          <w:p>
            <w:pPr>
              <w:pStyle w:val="Normal"/>
              <w:numPr>
                <w:ilvl w:val="0"/>
                <w:numId w:val="3"/>
              </w:numPr>
              <w:spacing w:before="0" w:after="0"/>
              <w:ind w:left="1440" w:hanging="360"/>
              <w:contextualSpacing/>
              <w:rPr>
                <w:rFonts w:ascii="Times" w:hAnsi="Times" w:eastAsia="Times" w:cs="Times"/>
                <w:i/>
                <w:i/>
                <w:sz w:val="24"/>
                <w:szCs w:val="24"/>
                <w:u w:val="none"/>
              </w:rPr>
            </w:pPr>
            <w:r>
              <w:rPr>
                <w:rFonts w:eastAsia="Times" w:cs="Times" w:ascii="Times" w:hAnsi="Times"/>
                <w:i/>
                <w:sz w:val="24"/>
                <w:szCs w:val="24"/>
              </w:rPr>
              <w:t>Dichiarazione del legale rappresentante dell’agenzia/tour operator circa l’assenza di</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contenziosi con enti pubblici.</w:t>
            </w:r>
          </w:p>
        </w:tc>
      </w:tr>
    </w:tbl>
    <w:p>
      <w:pPr>
        <w:pStyle w:val="Normal"/>
        <w:spacing w:before="0" w:after="0"/>
        <w:jc w:val="center"/>
        <w:rPr>
          <w:rFonts w:ascii="Times" w:hAnsi="Times" w:eastAsia="Times" w:cs="Times"/>
          <w:b/>
          <w:b/>
          <w:sz w:val="24"/>
          <w:szCs w:val="24"/>
        </w:rPr>
      </w:pPr>
      <w:r>
        <w:rPr>
          <w:rFonts w:eastAsia="Times" w:cs="Times" w:ascii="Times" w:hAnsi="Times"/>
          <w:b/>
          <w:sz w:val="24"/>
          <w:szCs w:val="24"/>
        </w:rPr>
      </w:r>
    </w:p>
    <w:p>
      <w:pPr>
        <w:pStyle w:val="Normal"/>
        <w:spacing w:before="0" w:after="0"/>
        <w:rPr>
          <w:rFonts w:ascii="Times" w:hAnsi="Times" w:eastAsia="Times" w:cs="Times"/>
          <w:b/>
          <w:b/>
          <w:sz w:val="24"/>
          <w:szCs w:val="24"/>
        </w:rPr>
      </w:pPr>
      <w:r>
        <w:rPr>
          <w:rFonts w:eastAsia="Times" w:cs="Times" w:ascii="Times" w:hAnsi="Times"/>
          <w:b/>
          <w:sz w:val="24"/>
          <w:szCs w:val="24"/>
        </w:rPr>
      </w:r>
    </w:p>
    <w:p>
      <w:pPr>
        <w:pStyle w:val="Normal"/>
        <w:spacing w:before="0" w:after="0"/>
        <w:rPr>
          <w:rFonts w:ascii="Times" w:hAnsi="Times" w:eastAsia="Times" w:cs="Times"/>
          <w:b/>
          <w:b/>
          <w:sz w:val="24"/>
          <w:szCs w:val="24"/>
        </w:rPr>
      </w:pPr>
      <w:r>
        <w:rPr>
          <w:rFonts w:eastAsia="Times" w:cs="Times" w:ascii="Times" w:hAnsi="Times"/>
          <w:b/>
          <w:sz w:val="24"/>
          <w:szCs w:val="24"/>
        </w:rPr>
      </w:r>
    </w:p>
    <w:p>
      <w:pPr>
        <w:pStyle w:val="Normal"/>
        <w:spacing w:before="0" w:after="0"/>
        <w:jc w:val="center"/>
        <w:rPr>
          <w:rFonts w:ascii="Times" w:hAnsi="Times" w:eastAsia="Times" w:cs="Times"/>
          <w:b/>
          <w:b/>
          <w:sz w:val="24"/>
          <w:szCs w:val="24"/>
        </w:rPr>
      </w:pPr>
      <w:r>
        <w:rPr>
          <w:rFonts w:eastAsia="Times" w:cs="Times" w:ascii="Times" w:hAnsi="Times"/>
          <w:b/>
          <w:sz w:val="24"/>
          <w:szCs w:val="24"/>
        </w:rPr>
        <w:t xml:space="preserve">PROPONE </w:t>
      </w:r>
    </w:p>
    <w:p>
      <w:pPr>
        <w:pStyle w:val="Normal"/>
        <w:spacing w:before="0" w:after="0"/>
        <w:jc w:val="both"/>
        <w:rPr>
          <w:rFonts w:ascii="Times" w:hAnsi="Times" w:eastAsia="Times" w:cs="Times"/>
          <w:b/>
          <w:b/>
          <w:sz w:val="24"/>
          <w:szCs w:val="24"/>
        </w:rPr>
      </w:pPr>
      <w:r>
        <w:rPr>
          <w:rFonts w:eastAsia="Times" w:cs="Times" w:ascii="Times" w:hAnsi="Times"/>
          <w:b/>
          <w:sz w:val="24"/>
          <w:szCs w:val="24"/>
        </w:rPr>
      </w:r>
    </w:p>
    <w:p>
      <w:pPr>
        <w:pStyle w:val="Normal"/>
        <w:spacing w:before="0" w:after="0"/>
        <w:jc w:val="both"/>
        <w:rPr>
          <w:rFonts w:ascii="Times" w:hAnsi="Times" w:eastAsia="Times" w:cs="Times"/>
          <w:b/>
          <w:b/>
          <w:sz w:val="24"/>
          <w:szCs w:val="24"/>
        </w:rPr>
      </w:pPr>
      <w:r>
        <w:rPr>
          <w:rFonts w:eastAsia="Times" w:cs="Times" w:ascii="Times" w:hAnsi="Times"/>
          <w:b/>
          <w:sz w:val="24"/>
          <w:szCs w:val="24"/>
        </w:rPr>
      </w:r>
    </w:p>
    <w:tbl>
      <w:tblPr>
        <w:tblStyle w:val="Table5"/>
        <w:tblW w:w="14550" w:type="dxa"/>
        <w:jc w:val="left"/>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400"/>
      </w:tblPr>
      <w:tblGrid>
        <w:gridCol w:w="3704"/>
        <w:gridCol w:w="10845"/>
      </w:tblGrid>
      <w:tr>
        <w:trPr/>
        <w:tc>
          <w:tcPr>
            <w:tcW w:w="37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tc>
        <w:tc>
          <w:tcPr>
            <w:tcW w:w="108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numPr>
                <w:ilvl w:val="0"/>
                <w:numId w:val="3"/>
              </w:numPr>
              <w:spacing w:before="0" w:after="0"/>
              <w:ind w:left="1440" w:hanging="360"/>
              <w:contextualSpacing/>
              <w:rPr>
                <w:rFonts w:ascii="Times" w:hAnsi="Times" w:eastAsia="Times" w:cs="Times"/>
                <w:i/>
                <w:i/>
                <w:sz w:val="24"/>
                <w:szCs w:val="24"/>
              </w:rPr>
            </w:pPr>
            <w:r>
              <w:rPr>
                <w:rFonts w:eastAsia="Times" w:cs="Times" w:ascii="Times" w:hAnsi="Times"/>
                <w:i/>
                <w:sz w:val="24"/>
                <w:szCs w:val="24"/>
              </w:rPr>
              <w:t xml:space="preserve"> </w:t>
            </w:r>
            <w:r>
              <w:rPr>
                <w:rFonts w:eastAsia="Times" w:cs="Times" w:ascii="Times" w:hAnsi="Times"/>
                <w:i/>
                <w:sz w:val="24"/>
                <w:szCs w:val="24"/>
              </w:rPr>
              <w:t>Dichiarazione di impegno analitica circa le eventuali scelte organizzative e/o operative</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aggiuntive e migliorative sotto il profilo della qualità/convenienza rispetto alle indicazioni</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del servizio oggetto di gara.</w:t>
            </w:r>
          </w:p>
          <w:p>
            <w:pPr>
              <w:pStyle w:val="Normal"/>
              <w:spacing w:lineRule="auto" w:line="240" w:before="0" w:after="0"/>
              <w:rPr>
                <w:rFonts w:ascii="Times" w:hAnsi="Times" w:eastAsia="Times" w:cs="Times"/>
                <w:b/>
                <w:b/>
                <w:sz w:val="24"/>
                <w:szCs w:val="24"/>
              </w:rPr>
            </w:pPr>
            <w:r>
              <w:rPr>
                <w:rFonts w:eastAsia="Times" w:cs="Times" w:ascii="Times" w:hAnsi="Times"/>
                <w:b/>
                <w:sz w:val="24"/>
                <w:szCs w:val="24"/>
              </w:rPr>
            </w:r>
          </w:p>
        </w:tc>
      </w:tr>
      <w:tr>
        <w:trPr>
          <w:trHeight w:val="3540" w:hRule="atLeast"/>
        </w:trPr>
        <w:tc>
          <w:tcPr>
            <w:tcW w:w="37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t>BREVE DESCRIZIONE</w:t>
            </w:r>
          </w:p>
        </w:tc>
        <w:tc>
          <w:tcPr>
            <w:tcW w:w="108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tc>
      </w:tr>
      <w:tr>
        <w:trPr/>
        <w:tc>
          <w:tcPr>
            <w:tcW w:w="37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keepNext/>
              <w:spacing w:lineRule="auto" w:line="240" w:before="0" w:after="0"/>
              <w:ind w:right="366" w:hanging="0"/>
              <w:jc w:val="both"/>
              <w:rPr>
                <w:rFonts w:ascii="Times" w:hAnsi="Times" w:eastAsia="Times" w:cs="Times"/>
                <w:b/>
                <w:b/>
                <w:sz w:val="24"/>
                <w:szCs w:val="24"/>
              </w:rPr>
            </w:pPr>
            <w:r>
              <w:rPr>
                <w:rFonts w:eastAsia="Times" w:cs="Times" w:ascii="Times" w:hAnsi="Times"/>
                <w:b/>
                <w:sz w:val="24"/>
                <w:szCs w:val="24"/>
              </w:rPr>
            </w:r>
          </w:p>
        </w:tc>
        <w:tc>
          <w:tcPr>
            <w:tcW w:w="108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spacing w:before="0" w:after="0"/>
              <w:ind w:left="1440" w:hanging="0"/>
              <w:rPr>
                <w:rFonts w:ascii="Times" w:hAnsi="Times" w:eastAsia="Times" w:cs="Times"/>
                <w:i/>
                <w:i/>
                <w:sz w:val="24"/>
                <w:szCs w:val="24"/>
              </w:rPr>
            </w:pPr>
            <w:r>
              <w:rPr>
                <w:rFonts w:eastAsia="Times" w:cs="Times" w:ascii="Times" w:hAnsi="Times"/>
                <w:i/>
                <w:sz w:val="24"/>
                <w:szCs w:val="24"/>
              </w:rPr>
            </w:r>
          </w:p>
          <w:p>
            <w:pPr>
              <w:pStyle w:val="Normal"/>
              <w:numPr>
                <w:ilvl w:val="0"/>
                <w:numId w:val="3"/>
              </w:numPr>
              <w:spacing w:before="0" w:after="0"/>
              <w:ind w:left="1440" w:hanging="360"/>
              <w:contextualSpacing/>
              <w:rPr>
                <w:rFonts w:ascii="Times" w:hAnsi="Times" w:eastAsia="Times" w:cs="Times"/>
                <w:i/>
                <w:i/>
                <w:sz w:val="24"/>
                <w:szCs w:val="24"/>
              </w:rPr>
            </w:pPr>
            <w:r>
              <w:rPr>
                <w:rFonts w:eastAsia="Times" w:cs="Times" w:ascii="Times" w:hAnsi="Times"/>
                <w:i/>
                <w:sz w:val="24"/>
                <w:szCs w:val="24"/>
              </w:rPr>
              <w:t>Breve presentazione/relazione dalla quale risultino gli estremi e le caratteristiche delle</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coperture assicurative, con particolare riguardo alle caratteristiche delle assicurazioni</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relative a responsabilità civile professionale, che dovrà corrispondere alle prescrizioni e</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agli obblighi assicurativi di cui al d.lgs. 206 del 6 settembre 2005 (Codice del Consumo),</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al d.lgs 111 del 17.03.1995 a ratifica della direttiva CEE 90/314 del 13.06.1990</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concernente viaggi, vacanze e circuiti “tutto compreso” nonché a quelli dettati</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dalla Convenzione Internazionale relativa al contratto di viaggio firmata a Bruxelles il</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23.04.1970 ratificata con legge n. 1084 del 27.12.1977, e assicurazione multi rischi (spese mediche, rientro sanitario, viaggio di un familiare, perdita o deterioramento del</w:t>
            </w:r>
          </w:p>
          <w:p>
            <w:pPr>
              <w:pStyle w:val="Normal"/>
              <w:spacing w:before="0" w:after="0"/>
              <w:ind w:left="1440" w:hanging="0"/>
              <w:rPr>
                <w:rFonts w:ascii="Times" w:hAnsi="Times" w:eastAsia="Times" w:cs="Times"/>
                <w:i/>
                <w:i/>
                <w:sz w:val="24"/>
                <w:szCs w:val="24"/>
              </w:rPr>
            </w:pPr>
            <w:r>
              <w:rPr>
                <w:rFonts w:eastAsia="Times" w:cs="Times" w:ascii="Times" w:hAnsi="Times"/>
                <w:i/>
                <w:sz w:val="24"/>
                <w:szCs w:val="24"/>
              </w:rPr>
              <w:t>bagaglio, etc).</w:t>
            </w:r>
          </w:p>
          <w:p>
            <w:pPr>
              <w:pStyle w:val="Normal"/>
              <w:keepNext/>
              <w:spacing w:lineRule="auto" w:line="240" w:before="0" w:after="0"/>
              <w:ind w:left="360" w:right="366" w:hanging="0"/>
              <w:jc w:val="both"/>
              <w:rPr>
                <w:rFonts w:ascii="Times" w:hAnsi="Times" w:eastAsia="Times" w:cs="Times"/>
                <w:b/>
                <w:b/>
                <w:sz w:val="24"/>
                <w:szCs w:val="24"/>
              </w:rPr>
            </w:pPr>
            <w:r>
              <w:rPr>
                <w:rFonts w:eastAsia="Times" w:cs="Times" w:ascii="Times" w:hAnsi="Times"/>
                <w:b/>
                <w:sz w:val="24"/>
                <w:szCs w:val="24"/>
              </w:rPr>
            </w:r>
          </w:p>
        </w:tc>
      </w:tr>
      <w:tr>
        <w:trPr/>
        <w:tc>
          <w:tcPr>
            <w:tcW w:w="37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AD1DC" w:val="clear"/>
            <w:tcMar>
              <w:left w:w="80" w:type="dxa"/>
            </w:tcMar>
          </w:tcPr>
          <w:p>
            <w:pPr>
              <w:pStyle w:val="Normal"/>
              <w:keepNext/>
              <w:spacing w:lineRule="auto" w:line="240" w:before="0" w:after="0"/>
              <w:ind w:left="0" w:right="366" w:hanging="0"/>
              <w:jc w:val="both"/>
              <w:rPr>
                <w:rFonts w:ascii="Times" w:hAnsi="Times" w:eastAsia="Times" w:cs="Times"/>
                <w:b/>
                <w:b/>
                <w:sz w:val="24"/>
                <w:szCs w:val="24"/>
              </w:rPr>
            </w:pPr>
            <w:r>
              <w:rPr>
                <w:rFonts w:eastAsia="Times" w:cs="Times" w:ascii="Times" w:hAnsi="Times"/>
                <w:b/>
                <w:sz w:val="24"/>
                <w:szCs w:val="24"/>
              </w:rPr>
              <w:t xml:space="preserve">BREVE PRESENTAZIONE </w:t>
            </w:r>
          </w:p>
        </w:tc>
        <w:tc>
          <w:tcPr>
            <w:tcW w:w="108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0" w:type="dxa"/>
            </w:tcMar>
          </w:tcPr>
          <w:p>
            <w:pPr>
              <w:pStyle w:val="Normal"/>
              <w:widowControl w:val="false"/>
              <w:spacing w:lineRule="auto" w:line="240" w:before="0" w:after="0"/>
              <w:rPr>
                <w:rFonts w:ascii="Times" w:hAnsi="Times" w:eastAsia="Times" w:cs="Times"/>
                <w:sz w:val="24"/>
                <w:szCs w:val="24"/>
              </w:rPr>
            </w:pPr>
            <w:r>
              <w:rPr>
                <w:rFonts w:eastAsia="Times" w:cs="Times" w:ascii="Times" w:hAnsi="Times"/>
                <w:sz w:val="24"/>
                <w:szCs w:val="24"/>
              </w:rPr>
            </w:r>
          </w:p>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p>
            <w:pPr>
              <w:pStyle w:val="Normal"/>
              <w:widowControl w:val="false"/>
              <w:spacing w:lineRule="auto" w:line="240" w:before="0" w:after="0"/>
              <w:rPr>
                <w:rFonts w:ascii="Times" w:hAnsi="Times" w:eastAsia="Times" w:cs="Times"/>
                <w:b/>
                <w:b/>
                <w:sz w:val="24"/>
                <w:szCs w:val="24"/>
              </w:rPr>
            </w:pPr>
            <w:r>
              <w:rPr>
                <w:rFonts w:eastAsia="Times" w:cs="Times" w:ascii="Times" w:hAnsi="Times"/>
                <w:b/>
                <w:sz w:val="24"/>
                <w:szCs w:val="24"/>
              </w:rPr>
            </w:r>
          </w:p>
        </w:tc>
      </w:tr>
    </w:tbl>
    <w:p>
      <w:pPr>
        <w:pStyle w:val="Normal"/>
        <w:spacing w:before="0" w:after="0"/>
        <w:jc w:val="both"/>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b/>
          <w:b/>
          <w:i/>
          <w:i/>
          <w:sz w:val="24"/>
          <w:szCs w:val="24"/>
        </w:rPr>
      </w:pPr>
      <w:r>
        <w:rPr>
          <w:b/>
          <w:i/>
          <w:sz w:val="24"/>
          <w:szCs w:val="24"/>
        </w:rPr>
      </w:r>
    </w:p>
    <w:p>
      <w:pPr>
        <w:pStyle w:val="Normal"/>
        <w:spacing w:before="0" w:after="0"/>
        <w:rPr/>
      </w:pPr>
      <w:r>
        <w:rPr/>
      </w:r>
    </w:p>
    <w:sectPr>
      <w:headerReference w:type="default" r:id="rId3"/>
      <w:footerReference w:type="default" r:id="rId4"/>
      <w:type w:val="nextPage"/>
      <w:pgSz w:w="16838" w:h="11906"/>
      <w:pgMar w:left="1133" w:right="1133" w:header="0" w:top="2012" w:footer="720" w:bottom="1627"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rFonts w:ascii="Times" w:hAnsi="Times" w:eastAsia="Times" w:cs="Times"/>
        <w:sz w:val="36"/>
        <w:szCs w:val="36"/>
      </w:rPr>
    </w:pPr>
    <w:r>
      <w:rPr>
        <w:rFonts w:eastAsia="Times" w:cs="Times" w:ascii="Times" w:hAnsi="Times"/>
        <w:sz w:val="24"/>
        <w:szCs w:val="24"/>
      </w:rPr>
      <w:t xml:space="preserve"> </w:t>
    </w:r>
  </w:p>
  <w:p>
    <w:pPr>
      <w:pStyle w:val="Normal"/>
      <w:spacing w:before="0" w:after="0"/>
      <w:rPr>
        <w:rFonts w:ascii="Times" w:hAnsi="Times" w:eastAsia="Times" w:cs="Times"/>
        <w:color w:val="FF0000"/>
        <w:sz w:val="24"/>
        <w:szCs w:val="24"/>
      </w:rPr>
    </w:pPr>
    <w:r>
      <w:rPr>
        <w:rFonts w:eastAsia="Times" w:cs="Times" w:ascii="Times" w:hAnsi="Times"/>
        <w:color w:val="FF0000"/>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4"/>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OpenSymbol" w:hAnsi="OpenSymbol" w:cs="OpenSymbol" w:hint="default"/>
        <w:u w:val="none"/>
        <w:b/>
        <w:rFonts w:cs="OpenSymbol"/>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OpenSymbol" w:hAnsi="OpenSymbol" w:cs="OpenSymbol" w:hint="default"/>
        <w:u w:val="none"/>
        <w:rFonts w:cs="OpenSymbol"/>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bullet"/>
      <w:lvlText w:val=""/>
      <w:lvlJc w:val="left"/>
      <w:pPr>
        <w:ind w:left="1440" w:hanging="360"/>
      </w:pPr>
      <w:rPr>
        <w:rFonts w:ascii="Wingdings" w:hAnsi="Wingdings" w:cs="Wingdings" w:hint="default"/>
        <w:sz w:val="24"/>
        <w:u w:val="none"/>
        <w:rFonts w:cs="Wingdings"/>
      </w:rPr>
    </w:lvl>
    <w:lvl w:ilvl="1">
      <w:start w:val="1"/>
      <w:numFmt w:val="bullet"/>
      <w:lvlText w:val=""/>
      <w:lvlJc w:val="left"/>
      <w:pPr>
        <w:ind w:left="2160" w:hanging="360"/>
      </w:pPr>
      <w:rPr>
        <w:rFonts w:ascii="Wingdings 2" w:hAnsi="Wingdings 2" w:cs="Wingdings 2" w:hint="default"/>
        <w:u w:val="none"/>
        <w:rFonts w:cs="Wingdings 2"/>
      </w:rPr>
    </w:lvl>
    <w:lvl w:ilvl="2">
      <w:start w:val="1"/>
      <w:numFmt w:val="bullet"/>
      <w:lvlText w:val="■"/>
      <w:lvlJc w:val="left"/>
      <w:pPr>
        <w:ind w:left="2880" w:hanging="360"/>
      </w:pPr>
      <w:rPr>
        <w:rFonts w:ascii="OpenSymbol" w:hAnsi="OpenSymbol" w:cs="OpenSymbol" w:hint="default"/>
        <w:u w:val="none"/>
        <w:rFonts w:cs="OpenSymbol"/>
      </w:rPr>
    </w:lvl>
    <w:lvl w:ilvl="3">
      <w:start w:val="1"/>
      <w:numFmt w:val="bullet"/>
      <w:lvlText w:val=""/>
      <w:lvlJc w:val="left"/>
      <w:pPr>
        <w:ind w:left="3600" w:hanging="360"/>
      </w:pPr>
      <w:rPr>
        <w:rFonts w:ascii="Wingdings" w:hAnsi="Wingdings" w:cs="Wingdings" w:hint="default"/>
        <w:u w:val="none"/>
        <w:rFonts w:cs="Wingdings"/>
      </w:rPr>
    </w:lvl>
    <w:lvl w:ilvl="4">
      <w:start w:val="1"/>
      <w:numFmt w:val="bullet"/>
      <w:lvlText w:val=""/>
      <w:lvlJc w:val="left"/>
      <w:pPr>
        <w:ind w:left="4320" w:hanging="360"/>
      </w:pPr>
      <w:rPr>
        <w:rFonts w:ascii="Wingdings 2" w:hAnsi="Wingdings 2" w:cs="Wingdings 2" w:hint="default"/>
        <w:u w:val="none"/>
        <w:rFonts w:cs="Wingdings 2"/>
      </w:rPr>
    </w:lvl>
    <w:lvl w:ilvl="5">
      <w:start w:val="1"/>
      <w:numFmt w:val="bullet"/>
      <w:lvlText w:val="■"/>
      <w:lvlJc w:val="left"/>
      <w:pPr>
        <w:ind w:left="5040" w:hanging="360"/>
      </w:pPr>
      <w:rPr>
        <w:rFonts w:ascii="OpenSymbol" w:hAnsi="OpenSymbol" w:cs="OpenSymbol" w:hint="default"/>
        <w:u w:val="none"/>
        <w:rFonts w:cs="OpenSymbol"/>
      </w:rPr>
    </w:lvl>
    <w:lvl w:ilvl="6">
      <w:start w:val="1"/>
      <w:numFmt w:val="bullet"/>
      <w:lvlText w:val=""/>
      <w:lvlJc w:val="left"/>
      <w:pPr>
        <w:ind w:left="5760" w:hanging="360"/>
      </w:pPr>
      <w:rPr>
        <w:rFonts w:ascii="Wingdings" w:hAnsi="Wingdings" w:cs="Wingdings" w:hint="default"/>
        <w:u w:val="none"/>
        <w:rFonts w:cs="Wingdings"/>
      </w:rPr>
    </w:lvl>
    <w:lvl w:ilvl="7">
      <w:start w:val="1"/>
      <w:numFmt w:val="bullet"/>
      <w:lvlText w:val=""/>
      <w:lvlJc w:val="left"/>
      <w:pPr>
        <w:ind w:left="6480" w:hanging="360"/>
      </w:pPr>
      <w:rPr>
        <w:rFonts w:ascii="Wingdings 2" w:hAnsi="Wingdings 2" w:cs="Wingdings 2" w:hint="default"/>
        <w:u w:val="none"/>
        <w:rFonts w:cs="Wingdings 2"/>
      </w:rPr>
    </w:lvl>
    <w:lvl w:ilvl="8">
      <w:start w:val="1"/>
      <w:numFmt w:val="bullet"/>
      <w:lvlText w:val="■"/>
      <w:lvlJc w:val="left"/>
      <w:pPr>
        <w:ind w:left="7200" w:hanging="360"/>
      </w:pPr>
      <w:rPr>
        <w:rFonts w:ascii="OpenSymbol" w:hAnsi="OpenSymbol" w:cs="OpenSymbol" w:hint="default"/>
        <w:u w:val="none"/>
        <w:rFonts w:cs="Open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zh-CN"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zh-CN" w:eastAsia="zh-CN" w:bidi="hi-IN"/>
    </w:rPr>
  </w:style>
  <w:style w:type="paragraph" w:styleId="Titolo1">
    <w:name w:val="Heading 1"/>
    <w:next w:val="Normal"/>
    <w:qFormat/>
    <w:pPr>
      <w:keepNext/>
      <w:keepLines/>
      <w:widowControl w:val="false"/>
      <w:spacing w:lineRule="auto" w:line="240" w:before="400" w:after="120"/>
    </w:pPr>
    <w:rPr>
      <w:rFonts w:ascii="Arial" w:hAnsi="Arial" w:eastAsia="Arial" w:cs="Arial"/>
      <w:color w:val="auto"/>
      <w:sz w:val="40"/>
      <w:szCs w:val="40"/>
      <w:lang w:val="zh-CN" w:eastAsia="zh-CN" w:bidi="hi-IN"/>
    </w:rPr>
  </w:style>
  <w:style w:type="paragraph" w:styleId="Titolo2">
    <w:name w:val="Heading 2"/>
    <w:next w:val="Normal"/>
    <w:qFormat/>
    <w:pPr>
      <w:keepNext/>
      <w:keepLines/>
      <w:widowControl w:val="false"/>
      <w:spacing w:lineRule="auto" w:line="240" w:before="360" w:after="120"/>
    </w:pPr>
    <w:rPr>
      <w:rFonts w:ascii="Arial" w:hAnsi="Arial" w:eastAsia="Arial" w:cs="Arial"/>
      <w:color w:val="auto"/>
      <w:sz w:val="32"/>
      <w:szCs w:val="32"/>
      <w:lang w:val="zh-CN" w:eastAsia="zh-CN" w:bidi="hi-IN"/>
    </w:rPr>
  </w:style>
  <w:style w:type="paragraph" w:styleId="Titolo3">
    <w:name w:val="Heading 3"/>
    <w:next w:val="Normal"/>
    <w:qFormat/>
    <w:pPr>
      <w:keepNext/>
      <w:keepLines/>
      <w:widowControl w:val="false"/>
      <w:spacing w:lineRule="auto" w:line="240" w:before="320" w:after="80"/>
    </w:pPr>
    <w:rPr>
      <w:rFonts w:ascii="Arial" w:hAnsi="Arial" w:eastAsia="Arial" w:cs="Arial"/>
      <w:color w:val="434343"/>
      <w:sz w:val="28"/>
      <w:szCs w:val="28"/>
      <w:lang w:val="zh-CN" w:eastAsia="zh-CN" w:bidi="hi-IN"/>
    </w:rPr>
  </w:style>
  <w:style w:type="paragraph" w:styleId="Titolo4">
    <w:name w:val="Heading 4"/>
    <w:next w:val="Normal"/>
    <w:qFormat/>
    <w:pPr>
      <w:keepNext/>
      <w:keepLines/>
      <w:widowControl w:val="false"/>
      <w:spacing w:lineRule="auto" w:line="240" w:before="280" w:after="80"/>
    </w:pPr>
    <w:rPr>
      <w:rFonts w:ascii="Arial" w:hAnsi="Arial" w:eastAsia="Arial" w:cs="Arial"/>
      <w:color w:val="666666"/>
      <w:sz w:val="24"/>
      <w:szCs w:val="24"/>
      <w:lang w:val="zh-CN" w:eastAsia="zh-CN" w:bidi="hi-IN"/>
    </w:rPr>
  </w:style>
  <w:style w:type="paragraph" w:styleId="Titolo5">
    <w:name w:val="Heading 5"/>
    <w:next w:val="Normal"/>
    <w:qFormat/>
    <w:pPr>
      <w:keepNext/>
      <w:keepLines/>
      <w:widowControl w:val="false"/>
      <w:spacing w:lineRule="auto" w:line="240" w:before="240" w:after="80"/>
    </w:pPr>
    <w:rPr>
      <w:rFonts w:ascii="Arial" w:hAnsi="Arial" w:eastAsia="Arial" w:cs="Arial"/>
      <w:color w:val="666666"/>
      <w:sz w:val="22"/>
      <w:szCs w:val="22"/>
      <w:lang w:val="zh-CN" w:eastAsia="zh-CN" w:bidi="hi-IN"/>
    </w:rPr>
  </w:style>
  <w:style w:type="paragraph" w:styleId="Titolo6">
    <w:name w:val="Heading 6"/>
    <w:next w:val="Normal"/>
    <w:qFormat/>
    <w:pPr>
      <w:keepNext/>
      <w:keepLines/>
      <w:widowControl w:val="false"/>
      <w:spacing w:lineRule="auto" w:line="240" w:before="240" w:after="80"/>
    </w:pPr>
    <w:rPr>
      <w:rFonts w:ascii="Arial" w:hAnsi="Arial" w:eastAsia="Arial" w:cs="Arial"/>
      <w:i/>
      <w:color w:val="666666"/>
      <w:sz w:val="22"/>
      <w:szCs w:val="22"/>
      <w:lang w:val="zh-CN" w:eastAsia="zh-CN" w:bidi="hi-IN"/>
    </w:rPr>
  </w:style>
  <w:style w:type="character" w:styleId="ListLabel1">
    <w:name w:val="ListLabel 1"/>
    <w:qFormat/>
    <w:rPr>
      <w:rFonts w:ascii="Times" w:hAnsi="Times"/>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b/>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w:hAnsi="Times"/>
      <w:sz w:val="24"/>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CollegamentoInternet">
    <w:name w:val="Collegamento Internet"/>
    <w:rPr>
      <w:color w:val="000080"/>
      <w:u w:val="single"/>
      <w:lang w:val="zxx" w:eastAsia="zxx" w:bidi="zxx"/>
    </w:rPr>
  </w:style>
  <w:style w:type="character" w:styleId="ListLabel28">
    <w:name w:val="ListLabel 28"/>
    <w:qFormat/>
    <w:rPr>
      <w:rFonts w:ascii="Times" w:hAnsi="Times" w:cs="Wingdings"/>
      <w:sz w:val="24"/>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character" w:styleId="ListLabel37">
    <w:name w:val="ListLabel 37"/>
    <w:qFormat/>
    <w:rPr>
      <w:rFonts w:cs="OpenSymbol"/>
      <w:b/>
      <w:u w:val="none"/>
    </w:rPr>
  </w:style>
  <w:style w:type="character" w:styleId="ListLabel38">
    <w:name w:val="ListLabel 38"/>
    <w:qFormat/>
    <w:rPr>
      <w:rFonts w:cs="OpenSymbol"/>
      <w:u w:val="none"/>
    </w:rPr>
  </w:style>
  <w:style w:type="character" w:styleId="ListLabel39">
    <w:name w:val="ListLabel 39"/>
    <w:qFormat/>
    <w:rPr>
      <w:rFonts w:cs="OpenSymbol"/>
      <w:u w:val="none"/>
    </w:rPr>
  </w:style>
  <w:style w:type="character" w:styleId="ListLabel40">
    <w:name w:val="ListLabel 40"/>
    <w:qFormat/>
    <w:rPr>
      <w:rFonts w:cs="OpenSymbol"/>
      <w:u w:val="none"/>
    </w:rPr>
  </w:style>
  <w:style w:type="character" w:styleId="ListLabel41">
    <w:name w:val="ListLabel 41"/>
    <w:qFormat/>
    <w:rPr>
      <w:rFonts w:cs="OpenSymbol"/>
      <w:u w:val="none"/>
    </w:rPr>
  </w:style>
  <w:style w:type="character" w:styleId="ListLabel42">
    <w:name w:val="ListLabel 42"/>
    <w:qFormat/>
    <w:rPr>
      <w:rFonts w:cs="OpenSymbol"/>
      <w:u w:val="none"/>
    </w:rPr>
  </w:style>
  <w:style w:type="character" w:styleId="ListLabel43">
    <w:name w:val="ListLabel 43"/>
    <w:qFormat/>
    <w:rPr>
      <w:rFonts w:cs="OpenSymbol"/>
      <w:u w:val="none"/>
    </w:rPr>
  </w:style>
  <w:style w:type="character" w:styleId="ListLabel44">
    <w:name w:val="ListLabel 44"/>
    <w:qFormat/>
    <w:rPr>
      <w:rFonts w:cs="OpenSymbol"/>
      <w:u w:val="none"/>
    </w:rPr>
  </w:style>
  <w:style w:type="character" w:styleId="ListLabel45">
    <w:name w:val="ListLabel 45"/>
    <w:qFormat/>
    <w:rPr>
      <w:rFonts w:cs="OpenSymbol"/>
      <w:u w:val="none"/>
    </w:rPr>
  </w:style>
  <w:style w:type="character" w:styleId="ListLabel46">
    <w:name w:val="ListLabel 46"/>
    <w:qFormat/>
    <w:rPr>
      <w:rFonts w:ascii="Times" w:hAnsi="Times" w:cs="Wingdings"/>
      <w:sz w:val="24"/>
      <w:u w:val="none"/>
    </w:rPr>
  </w:style>
  <w:style w:type="character" w:styleId="ListLabel47">
    <w:name w:val="ListLabel 47"/>
    <w:qFormat/>
    <w:rPr>
      <w:rFonts w:cs="Wingdings 2"/>
      <w:u w:val="none"/>
    </w:rPr>
  </w:style>
  <w:style w:type="character" w:styleId="ListLabel48">
    <w:name w:val="ListLabel 48"/>
    <w:qFormat/>
    <w:rPr>
      <w:rFonts w:cs="OpenSymbol"/>
      <w:u w:val="none"/>
    </w:rPr>
  </w:style>
  <w:style w:type="character" w:styleId="ListLabel49">
    <w:name w:val="ListLabel 49"/>
    <w:qFormat/>
    <w:rPr>
      <w:rFonts w:cs="Wingdings"/>
      <w:u w:val="none"/>
    </w:rPr>
  </w:style>
  <w:style w:type="character" w:styleId="ListLabel50">
    <w:name w:val="ListLabel 50"/>
    <w:qFormat/>
    <w:rPr>
      <w:rFonts w:cs="Wingdings 2"/>
      <w:u w:val="none"/>
    </w:rPr>
  </w:style>
  <w:style w:type="character" w:styleId="ListLabel51">
    <w:name w:val="ListLabel 51"/>
    <w:qFormat/>
    <w:rPr>
      <w:rFonts w:cs="OpenSymbol"/>
      <w:u w:val="none"/>
    </w:rPr>
  </w:style>
  <w:style w:type="character" w:styleId="ListLabel52">
    <w:name w:val="ListLabel 52"/>
    <w:qFormat/>
    <w:rPr>
      <w:rFonts w:cs="Wingdings"/>
      <w:u w:val="none"/>
    </w:rPr>
  </w:style>
  <w:style w:type="character" w:styleId="ListLabel53">
    <w:name w:val="ListLabel 53"/>
    <w:qFormat/>
    <w:rPr>
      <w:rFonts w:cs="Wingdings 2"/>
      <w:u w:val="none"/>
    </w:rPr>
  </w:style>
  <w:style w:type="character" w:styleId="ListLabel54">
    <w:name w:val="ListLabel 54"/>
    <w:qFormat/>
    <w:rPr>
      <w:rFonts w:cs="OpenSymbol"/>
      <w:u w:val="none"/>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Onormal" w:default="1">
    <w:name w:val="LO-normal"/>
    <w:qFormat/>
    <w:pPr>
      <w:widowControl/>
      <w:bidi w:val="0"/>
      <w:jc w:val="left"/>
    </w:pPr>
    <w:rPr>
      <w:rFonts w:ascii="Arial" w:hAnsi="Arial" w:eastAsia="Arial" w:cs="Arial"/>
      <w:color w:val="00000A"/>
      <w:sz w:val="22"/>
      <w:szCs w:val="22"/>
      <w:lang w:val="zh-CN" w:eastAsia="zh-CN" w:bidi="hi-IN"/>
    </w:rPr>
  </w:style>
  <w:style w:type="paragraph" w:styleId="Titoloprincipale">
    <w:name w:val="Title"/>
    <w:basedOn w:val="LOnormal"/>
    <w:next w:val="Normal"/>
    <w:qFormat/>
    <w:pPr>
      <w:keepNext/>
      <w:keepLines/>
      <w:spacing w:lineRule="auto" w:line="240" w:before="0" w:after="60"/>
    </w:pPr>
    <w:rPr>
      <w:sz w:val="52"/>
      <w:szCs w:val="52"/>
    </w:rPr>
  </w:style>
  <w:style w:type="paragraph" w:styleId="Sottotitolo">
    <w:name w:val="Subtitle"/>
    <w:basedOn w:val="LOnormal"/>
    <w:next w:val="Normal"/>
    <w:qFormat/>
    <w:pPr>
      <w:keepNext/>
      <w:keepLines/>
      <w:spacing w:lineRule="auto" w:line="240" w:before="0" w:after="320"/>
    </w:pPr>
    <w:rPr>
      <w:color w:val="666666"/>
      <w:sz w:val="30"/>
      <w:szCs w:val="30"/>
    </w:rPr>
  </w:style>
  <w:style w:type="paragraph" w:styleId="Intestazione">
    <w:name w:val="Header"/>
    <w:basedOn w:val="Normal"/>
    <w:pPr/>
    <w:rPr/>
  </w:style>
  <w:style w:type="paragraph" w:styleId="Pidipagina">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anellotorriani.it/operatori-economici/"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LibreOffice/5.1.4.2$Windows_x86 LibreOffice_project/f99d75f39f1c57ebdd7ffc5f42867c12031db97a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2018-11-07T12:42:15Z</dcterms:modified>
  <cp:revision>1</cp:revision>
  <dc:subject/>
  <dc:title/>
</cp:coreProperties>
</file>